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68" w:rsidRDefault="00E24968">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7936FE" w:rsidRPr="007936FE" w:rsidRDefault="007936FE" w:rsidP="007936FE"/>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E24968" w:rsidRDefault="00E24968" w:rsidP="008A4195">
      <w:pPr>
        <w:pStyle w:val="Heading2"/>
        <w:ind w:left="851" w:hanging="851"/>
        <w:jc w:val="both"/>
      </w:pPr>
      <w:r>
        <w:t>A1.</w:t>
      </w:r>
      <w:r>
        <w:tab/>
      </w:r>
      <w:r w:rsidR="00F15DA9">
        <w:t>First-time Adopting of Malaysian Financial Reporting Standards (“MFRS”)</w:t>
      </w:r>
    </w:p>
    <w:p w:rsidR="00F15DA9" w:rsidRPr="00C425EA" w:rsidRDefault="00F15DA9" w:rsidP="00AD34DC">
      <w:pPr>
        <w:pStyle w:val="BodyText2"/>
        <w:spacing w:before="90" w:line="260" w:lineRule="exact"/>
        <w:rPr>
          <w:rFonts w:ascii="Times New Roman" w:hAnsi="Times New Roman"/>
          <w:sz w:val="24"/>
          <w:szCs w:val="24"/>
        </w:rPr>
      </w:pPr>
      <w:r w:rsidRPr="00C425EA">
        <w:rPr>
          <w:rFonts w:ascii="Times New Roman" w:hAnsi="Times New Roman"/>
          <w:sz w:val="24"/>
          <w:szCs w:val="24"/>
        </w:rPr>
        <w:t>The condensed consolidation interim financial statements of the Group for the period ended 3</w:t>
      </w:r>
      <w:r w:rsidR="006B71A7">
        <w:rPr>
          <w:rFonts w:ascii="Times New Roman" w:hAnsi="Times New Roman"/>
          <w:sz w:val="24"/>
          <w:szCs w:val="24"/>
        </w:rPr>
        <w:t>1</w:t>
      </w:r>
      <w:r w:rsidRPr="00C425EA">
        <w:rPr>
          <w:rFonts w:ascii="Times New Roman" w:hAnsi="Times New Roman"/>
          <w:sz w:val="24"/>
          <w:szCs w:val="24"/>
        </w:rPr>
        <w:t xml:space="preserve"> </w:t>
      </w:r>
      <w:r w:rsidR="00725028">
        <w:rPr>
          <w:rFonts w:ascii="Times New Roman" w:hAnsi="Times New Roman"/>
          <w:sz w:val="24"/>
          <w:szCs w:val="24"/>
        </w:rPr>
        <w:t>March 2</w:t>
      </w:r>
      <w:r w:rsidRPr="00C425EA">
        <w:rPr>
          <w:rFonts w:ascii="Times New Roman" w:hAnsi="Times New Roman"/>
          <w:sz w:val="24"/>
          <w:szCs w:val="24"/>
        </w:rPr>
        <w:t>01</w:t>
      </w:r>
      <w:r w:rsidR="00725028">
        <w:rPr>
          <w:rFonts w:ascii="Times New Roman" w:hAnsi="Times New Roman"/>
          <w:sz w:val="24"/>
          <w:szCs w:val="24"/>
        </w:rPr>
        <w:t>3</w:t>
      </w:r>
      <w:r w:rsidRPr="00C425EA">
        <w:rPr>
          <w:rFonts w:ascii="Times New Roman" w:hAnsi="Times New Roman"/>
          <w:sz w:val="24"/>
          <w:szCs w:val="24"/>
        </w:rPr>
        <w:t>, have been prepared in accordance with MFRS 134 Interim Financial Reporting and paragraph 9.2 of the Listing Requirement of Bursa Malaysia Securities Berhad.  These condensed consolidated interim financial also comply with IAS 34 Interim Financial Reporting issued by the International Accounting Standards Board.  For the periods up to and including the year ended 30</w:t>
      </w:r>
      <w:r w:rsidRPr="00C425EA">
        <w:rPr>
          <w:rFonts w:ascii="Times New Roman" w:hAnsi="Times New Roman"/>
          <w:sz w:val="24"/>
          <w:szCs w:val="24"/>
          <w:vertAlign w:val="superscript"/>
        </w:rPr>
        <w:t>th</w:t>
      </w:r>
      <w:r w:rsidRPr="00C425EA">
        <w:rPr>
          <w:rFonts w:ascii="Times New Roman" w:hAnsi="Times New Roman"/>
          <w:sz w:val="24"/>
          <w:szCs w:val="24"/>
        </w:rPr>
        <w:t xml:space="preserve"> June 2012, the Group prepared its financial statements in accordance with Financial Reporting Standards (“FRS”).</w:t>
      </w:r>
    </w:p>
    <w:p w:rsidR="00F15DA9" w:rsidRPr="00C425EA" w:rsidRDefault="00F15DA9" w:rsidP="00AD34DC">
      <w:pPr>
        <w:pStyle w:val="BodyText2"/>
        <w:spacing w:before="90" w:line="260" w:lineRule="exact"/>
        <w:rPr>
          <w:rFonts w:ascii="Times New Roman" w:hAnsi="Times New Roman"/>
          <w:sz w:val="24"/>
          <w:szCs w:val="24"/>
        </w:rPr>
      </w:pPr>
    </w:p>
    <w:p w:rsidR="00F15DA9" w:rsidRPr="00C425EA" w:rsidRDefault="00F15DA9" w:rsidP="00AD34DC">
      <w:pPr>
        <w:pStyle w:val="BodyText2"/>
        <w:spacing w:before="90" w:line="260" w:lineRule="exact"/>
        <w:rPr>
          <w:rFonts w:ascii="Times New Roman" w:hAnsi="Times New Roman"/>
          <w:sz w:val="24"/>
          <w:szCs w:val="24"/>
        </w:rPr>
      </w:pPr>
      <w:r w:rsidRPr="00C425EA">
        <w:rPr>
          <w:rFonts w:ascii="Times New Roman" w:hAnsi="Times New Roman"/>
          <w:sz w:val="24"/>
          <w:szCs w:val="24"/>
        </w:rPr>
        <w:t>The Group has adopted the MFRS framework issued by MASB with effect from 1</w:t>
      </w:r>
      <w:r w:rsidRPr="00C425EA">
        <w:rPr>
          <w:rFonts w:ascii="Times New Roman" w:hAnsi="Times New Roman"/>
          <w:sz w:val="24"/>
          <w:szCs w:val="24"/>
          <w:vertAlign w:val="superscript"/>
        </w:rPr>
        <w:t>st</w:t>
      </w:r>
      <w:r w:rsidRPr="00C425EA">
        <w:rPr>
          <w:rFonts w:ascii="Times New Roman" w:hAnsi="Times New Roman"/>
          <w:sz w:val="24"/>
          <w:szCs w:val="24"/>
        </w:rPr>
        <w:t xml:space="preserve"> July 2012.  This MFRS framework was introduced by MASB in order to fully converge Malaysia’s existing FRS framework with the IAS framework issued by the IASB.</w:t>
      </w:r>
    </w:p>
    <w:p w:rsidR="00F15DA9" w:rsidRDefault="00F15DA9" w:rsidP="00AD34DC">
      <w:pPr>
        <w:pStyle w:val="BodyText2"/>
        <w:spacing w:before="90" w:line="260" w:lineRule="exact"/>
      </w:pPr>
    </w:p>
    <w:p w:rsidR="00EB15EB" w:rsidRPr="00C425EA" w:rsidRDefault="008A4195" w:rsidP="008A4195">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8A4195" w:rsidRPr="00C425EA" w:rsidRDefault="008A4195" w:rsidP="008A4195">
      <w:pPr>
        <w:pStyle w:val="BodyText2"/>
        <w:spacing w:before="90" w:line="260" w:lineRule="exact"/>
        <w:ind w:left="709"/>
        <w:rPr>
          <w:rFonts w:ascii="Times New Roman" w:hAnsi="Times New Roman"/>
          <w:sz w:val="24"/>
          <w:szCs w:val="24"/>
        </w:rPr>
      </w:pPr>
      <w:r w:rsidRPr="00C425EA">
        <w:rPr>
          <w:rFonts w:ascii="Times New Roman" w:hAnsi="Times New Roman"/>
          <w:sz w:val="24"/>
          <w:szCs w:val="24"/>
        </w:rPr>
        <w:lastRenderedPageBreak/>
        <w:t>These condensed consolidated interim financial statements are the Group’s first MFRS condensed consolidated interim financial statements for part of the period covered by the Group’s first MFRS annual financial statements for the year ending 30</w:t>
      </w:r>
      <w:r w:rsidRPr="00C425EA">
        <w:rPr>
          <w:rFonts w:ascii="Times New Roman" w:hAnsi="Times New Roman"/>
          <w:sz w:val="24"/>
          <w:szCs w:val="24"/>
          <w:vertAlign w:val="superscript"/>
        </w:rPr>
        <w:t>th</w:t>
      </w:r>
      <w:r w:rsidRPr="00C425EA">
        <w:rPr>
          <w:rFonts w:ascii="Times New Roman" w:hAnsi="Times New Roman"/>
          <w:sz w:val="24"/>
          <w:szCs w:val="24"/>
        </w:rPr>
        <w:t xml:space="preserve"> June 2013.  The Group has therefore applied MFRS 1 – First-time Adopting of Malaysian Financial Reporting Standards.</w:t>
      </w:r>
    </w:p>
    <w:p w:rsidR="008A4195" w:rsidRPr="00C425EA" w:rsidRDefault="008A4195" w:rsidP="008A4195">
      <w:pPr>
        <w:pStyle w:val="BodyText2"/>
        <w:spacing w:before="90" w:line="260" w:lineRule="exact"/>
        <w:ind w:left="709"/>
        <w:rPr>
          <w:rFonts w:ascii="Times New Roman" w:hAnsi="Times New Roman"/>
          <w:sz w:val="24"/>
          <w:szCs w:val="24"/>
        </w:rPr>
      </w:pPr>
    </w:p>
    <w:p w:rsidR="00643801" w:rsidRPr="00C425EA" w:rsidRDefault="00643801" w:rsidP="008A4195">
      <w:pPr>
        <w:pStyle w:val="BodyText2"/>
        <w:spacing w:before="90" w:line="260" w:lineRule="exact"/>
        <w:ind w:left="709"/>
        <w:rPr>
          <w:rFonts w:ascii="Times New Roman" w:hAnsi="Times New Roman"/>
          <w:sz w:val="24"/>
          <w:szCs w:val="24"/>
        </w:rPr>
      </w:pPr>
      <w:r w:rsidRPr="00C425EA">
        <w:rPr>
          <w:rFonts w:ascii="Times New Roman" w:hAnsi="Times New Roman"/>
          <w:sz w:val="24"/>
          <w:szCs w:val="24"/>
        </w:rPr>
        <w:t>The adoption of the MFRS framework did not result in any substantial change to the Group’s accounting policies, nor any significant impact on the financial statements, as the accounting policies adopted by the Group under the previous FRS framework are consistent with the MFRS framework, except for the following:</w:t>
      </w:r>
    </w:p>
    <w:p w:rsidR="00643801" w:rsidRPr="00C425EA" w:rsidRDefault="00643801" w:rsidP="008A4195">
      <w:pPr>
        <w:pStyle w:val="BodyText2"/>
        <w:spacing w:before="90" w:line="260" w:lineRule="exact"/>
        <w:ind w:left="709"/>
        <w:rPr>
          <w:rFonts w:ascii="Times New Roman" w:hAnsi="Times New Roman"/>
          <w:sz w:val="24"/>
          <w:szCs w:val="24"/>
        </w:rPr>
      </w:pPr>
    </w:p>
    <w:p w:rsidR="00643801" w:rsidRPr="00C425EA" w:rsidRDefault="00B30EEC" w:rsidP="00B30EEC">
      <w:pPr>
        <w:pStyle w:val="BodyText2"/>
        <w:numPr>
          <w:ilvl w:val="0"/>
          <w:numId w:val="24"/>
        </w:numPr>
        <w:spacing w:before="90" w:line="260" w:lineRule="exact"/>
        <w:ind w:left="1418" w:hanging="709"/>
        <w:rPr>
          <w:rFonts w:ascii="Times New Roman" w:hAnsi="Times New Roman"/>
          <w:sz w:val="24"/>
          <w:szCs w:val="24"/>
        </w:rPr>
      </w:pPr>
      <w:r w:rsidRPr="00C425EA">
        <w:rPr>
          <w:rFonts w:ascii="Times New Roman" w:hAnsi="Times New Roman"/>
          <w:sz w:val="24"/>
          <w:szCs w:val="24"/>
        </w:rPr>
        <w:t>Business combination</w:t>
      </w:r>
    </w:p>
    <w:p w:rsidR="00B30EEC" w:rsidRPr="00C425EA" w:rsidRDefault="00B30EEC" w:rsidP="00B30EEC">
      <w:pPr>
        <w:pStyle w:val="BodyText2"/>
        <w:spacing w:before="90" w:line="260" w:lineRule="exact"/>
        <w:ind w:left="1418"/>
        <w:rPr>
          <w:rFonts w:ascii="Times New Roman" w:hAnsi="Times New Roman"/>
          <w:sz w:val="24"/>
          <w:szCs w:val="24"/>
        </w:rPr>
      </w:pPr>
      <w:r w:rsidRPr="00C425EA">
        <w:rPr>
          <w:rFonts w:ascii="Times New Roman" w:hAnsi="Times New Roman"/>
          <w:sz w:val="24"/>
          <w:szCs w:val="24"/>
        </w:rPr>
        <w:t>MFRS 1 provides the option to apply MFRS 3 Business Combinations, prospectively from the date of transition or from a specific date prior to the date of transition.  This provides relief from combinations prior to the date of transition.</w:t>
      </w:r>
    </w:p>
    <w:p w:rsidR="00B30EEC" w:rsidRPr="00C425EA" w:rsidRDefault="00B30EEC" w:rsidP="00B30EEC">
      <w:pPr>
        <w:pStyle w:val="BodyText2"/>
        <w:spacing w:before="90" w:line="260" w:lineRule="exact"/>
        <w:ind w:left="1418"/>
        <w:rPr>
          <w:rFonts w:ascii="Times New Roman" w:hAnsi="Times New Roman"/>
          <w:sz w:val="24"/>
          <w:szCs w:val="24"/>
        </w:rPr>
      </w:pPr>
    </w:p>
    <w:p w:rsidR="00B30EEC" w:rsidRPr="00C425EA" w:rsidRDefault="00B30EEC" w:rsidP="00B30EEC">
      <w:pPr>
        <w:pStyle w:val="BodyText2"/>
        <w:spacing w:before="90" w:line="260" w:lineRule="exact"/>
        <w:ind w:left="1418"/>
        <w:rPr>
          <w:rFonts w:ascii="Times New Roman" w:hAnsi="Times New Roman"/>
          <w:i/>
          <w:sz w:val="24"/>
          <w:szCs w:val="24"/>
          <w:u w:val="single"/>
        </w:rPr>
      </w:pPr>
      <w:r w:rsidRPr="00C425EA">
        <w:rPr>
          <w:rFonts w:ascii="Times New Roman" w:hAnsi="Times New Roman"/>
          <w:i/>
          <w:sz w:val="24"/>
          <w:szCs w:val="24"/>
          <w:u w:val="single"/>
        </w:rPr>
        <w:t>Acquisitions before date of transition</w:t>
      </w:r>
    </w:p>
    <w:p w:rsidR="00B30EEC" w:rsidRPr="00C425EA" w:rsidRDefault="00B30EEC" w:rsidP="00B30EEC">
      <w:pPr>
        <w:pStyle w:val="BodyText2"/>
        <w:spacing w:before="90" w:line="260" w:lineRule="exact"/>
        <w:ind w:left="1418"/>
        <w:rPr>
          <w:rFonts w:ascii="Times New Roman" w:hAnsi="Times New Roman"/>
          <w:sz w:val="24"/>
          <w:szCs w:val="24"/>
        </w:rPr>
      </w:pPr>
      <w:r w:rsidRPr="00C425EA">
        <w:rPr>
          <w:rFonts w:ascii="Times New Roman" w:hAnsi="Times New Roman"/>
          <w:sz w:val="24"/>
          <w:szCs w:val="24"/>
        </w:rPr>
        <w:t>The Group has elected to apply MFRS 3 prospectively from the date of transition.  In respect of acquisitions prior to the date of transition,</w:t>
      </w:r>
    </w:p>
    <w:p w:rsidR="00E61D82" w:rsidRDefault="00E61D82">
      <w:pPr>
        <w:overflowPunct/>
        <w:autoSpaceDE/>
        <w:autoSpaceDN/>
        <w:adjustRightInd/>
        <w:textAlignment w:val="auto"/>
        <w:rPr>
          <w:sz w:val="24"/>
          <w:szCs w:val="24"/>
          <w:lang w:val="en-GB"/>
        </w:rPr>
      </w:pPr>
      <w:r>
        <w:rPr>
          <w:sz w:val="24"/>
          <w:szCs w:val="24"/>
        </w:rPr>
        <w:br w:type="page"/>
      </w:r>
    </w:p>
    <w:p w:rsidR="00E61D82" w:rsidRPr="00C425EA" w:rsidRDefault="00E61D82" w:rsidP="00E61D82">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lastRenderedPageBreak/>
        <w:t>A1.1</w:t>
      </w:r>
      <w:r w:rsidRPr="00C425EA">
        <w:rPr>
          <w:rFonts w:ascii="Times New Roman" w:hAnsi="Times New Roman"/>
          <w:b/>
          <w:i/>
          <w:sz w:val="24"/>
          <w:szCs w:val="24"/>
        </w:rPr>
        <w:tab/>
        <w:t>Significant Accounting Policies and Application of MFRS 1</w:t>
      </w:r>
    </w:p>
    <w:p w:rsidR="005F1182" w:rsidRDefault="005F1182" w:rsidP="005F1182">
      <w:pPr>
        <w:pStyle w:val="BodyText2"/>
        <w:spacing w:before="90" w:line="260" w:lineRule="exact"/>
        <w:ind w:left="709"/>
        <w:rPr>
          <w:rFonts w:ascii="Times New Roman" w:hAnsi="Times New Roman"/>
          <w:sz w:val="24"/>
          <w:szCs w:val="24"/>
        </w:rPr>
      </w:pPr>
    </w:p>
    <w:p w:rsidR="00E61D82" w:rsidRPr="00C425EA" w:rsidRDefault="00E61D82" w:rsidP="005F1182">
      <w:pPr>
        <w:pStyle w:val="BodyText2"/>
        <w:numPr>
          <w:ilvl w:val="0"/>
          <w:numId w:val="28"/>
        </w:numPr>
        <w:spacing w:before="90" w:line="260" w:lineRule="exact"/>
        <w:ind w:left="1418" w:hanging="709"/>
        <w:rPr>
          <w:rFonts w:ascii="Times New Roman" w:hAnsi="Times New Roman"/>
          <w:sz w:val="24"/>
          <w:szCs w:val="24"/>
        </w:rPr>
      </w:pPr>
      <w:r w:rsidRPr="00C425EA">
        <w:rPr>
          <w:rFonts w:ascii="Times New Roman" w:hAnsi="Times New Roman"/>
          <w:sz w:val="24"/>
          <w:szCs w:val="24"/>
        </w:rPr>
        <w:t>Business combination</w:t>
      </w:r>
    </w:p>
    <w:p w:rsidR="00B30EEC" w:rsidRPr="00C425EA" w:rsidRDefault="00B30EEC" w:rsidP="00B30EEC">
      <w:pPr>
        <w:pStyle w:val="BodyText2"/>
        <w:numPr>
          <w:ilvl w:val="0"/>
          <w:numId w:val="25"/>
        </w:numPr>
        <w:spacing w:before="90" w:line="260" w:lineRule="exact"/>
        <w:rPr>
          <w:rFonts w:ascii="Times New Roman" w:hAnsi="Times New Roman"/>
          <w:sz w:val="24"/>
          <w:szCs w:val="24"/>
        </w:rPr>
      </w:pPr>
      <w:r w:rsidRPr="00C425EA">
        <w:rPr>
          <w:rFonts w:ascii="Times New Roman" w:hAnsi="Times New Roman"/>
          <w:sz w:val="24"/>
          <w:szCs w:val="24"/>
        </w:rPr>
        <w:t>The classification of former business combinations under FRS is maintained;</w:t>
      </w:r>
    </w:p>
    <w:p w:rsidR="00B30EEC" w:rsidRPr="00C425EA" w:rsidRDefault="00B30EEC" w:rsidP="00B30EEC">
      <w:pPr>
        <w:pStyle w:val="BodyText2"/>
        <w:numPr>
          <w:ilvl w:val="0"/>
          <w:numId w:val="25"/>
        </w:numPr>
        <w:spacing w:before="90" w:line="260" w:lineRule="exact"/>
        <w:rPr>
          <w:rFonts w:ascii="Times New Roman" w:hAnsi="Times New Roman"/>
          <w:sz w:val="24"/>
          <w:szCs w:val="24"/>
        </w:rPr>
      </w:pPr>
      <w:r w:rsidRPr="00C425EA">
        <w:rPr>
          <w:rFonts w:ascii="Times New Roman" w:hAnsi="Times New Roman"/>
          <w:sz w:val="24"/>
          <w:szCs w:val="24"/>
        </w:rPr>
        <w:t>There is no re-measurement of original fair values determined at the time of business combination (date of acquisition); and</w:t>
      </w:r>
    </w:p>
    <w:p w:rsidR="00B30EEC" w:rsidRDefault="00B30EEC" w:rsidP="00B30EEC">
      <w:pPr>
        <w:pStyle w:val="BodyText2"/>
        <w:numPr>
          <w:ilvl w:val="0"/>
          <w:numId w:val="25"/>
        </w:numPr>
        <w:spacing w:before="90" w:line="260" w:lineRule="exact"/>
        <w:rPr>
          <w:rFonts w:ascii="Times New Roman" w:hAnsi="Times New Roman"/>
          <w:sz w:val="24"/>
          <w:szCs w:val="24"/>
        </w:rPr>
      </w:pPr>
      <w:r w:rsidRPr="00C425EA">
        <w:rPr>
          <w:rFonts w:ascii="Times New Roman" w:hAnsi="Times New Roman"/>
          <w:sz w:val="24"/>
          <w:szCs w:val="24"/>
        </w:rPr>
        <w:t>The carrying amount of goodwill recognized under FRS is not adjusted.</w:t>
      </w:r>
    </w:p>
    <w:p w:rsidR="00C425EA" w:rsidRDefault="00C425EA" w:rsidP="00C425EA">
      <w:pPr>
        <w:pStyle w:val="BodyText2"/>
        <w:spacing w:before="90" w:line="260" w:lineRule="exact"/>
        <w:ind w:left="2138"/>
        <w:rPr>
          <w:rFonts w:ascii="Times New Roman" w:hAnsi="Times New Roman"/>
          <w:sz w:val="24"/>
          <w:szCs w:val="24"/>
        </w:rPr>
      </w:pPr>
    </w:p>
    <w:p w:rsidR="002B2C6A" w:rsidRDefault="002B2C6A" w:rsidP="003B72A0">
      <w:pPr>
        <w:pStyle w:val="BodyText2"/>
        <w:numPr>
          <w:ilvl w:val="0"/>
          <w:numId w:val="28"/>
        </w:numPr>
        <w:spacing w:before="90" w:line="260" w:lineRule="exact"/>
        <w:ind w:left="1418" w:hanging="709"/>
        <w:rPr>
          <w:rFonts w:ascii="Times New Roman" w:hAnsi="Times New Roman"/>
          <w:sz w:val="24"/>
          <w:szCs w:val="24"/>
        </w:rPr>
      </w:pPr>
      <w:r>
        <w:rPr>
          <w:rFonts w:ascii="Times New Roman" w:hAnsi="Times New Roman"/>
          <w:sz w:val="24"/>
          <w:szCs w:val="24"/>
        </w:rPr>
        <w:t>Property, plant and equipment</w:t>
      </w:r>
    </w:p>
    <w:p w:rsidR="002B2C6A" w:rsidRDefault="002B2C6A" w:rsidP="003B72A0">
      <w:pPr>
        <w:pStyle w:val="BodyText2"/>
        <w:spacing w:before="90" w:line="260" w:lineRule="exact"/>
        <w:ind w:left="1418"/>
        <w:rPr>
          <w:rFonts w:ascii="Times New Roman" w:hAnsi="Times New Roman"/>
          <w:sz w:val="24"/>
          <w:szCs w:val="24"/>
        </w:rPr>
      </w:pPr>
      <w:r>
        <w:rPr>
          <w:rFonts w:ascii="Times New Roman" w:hAnsi="Times New Roman"/>
          <w:sz w:val="24"/>
          <w:szCs w:val="24"/>
        </w:rPr>
        <w:t>The Group has previously adopted the transitional provisions available on the first application of the MASB Approved Accounting Standard IAS 16 (Revised) Property, Plant and Equipment which was effective for periods ending on or after 1</w:t>
      </w:r>
      <w:r>
        <w:rPr>
          <w:rFonts w:ascii="Times New Roman" w:hAnsi="Times New Roman"/>
          <w:sz w:val="24"/>
          <w:szCs w:val="24"/>
          <w:vertAlign w:val="superscript"/>
        </w:rPr>
        <w:t xml:space="preserve"> </w:t>
      </w:r>
      <w:r>
        <w:rPr>
          <w:rFonts w:ascii="Times New Roman" w:hAnsi="Times New Roman"/>
          <w:sz w:val="24"/>
          <w:szCs w:val="24"/>
        </w:rPr>
        <w:t>September 1998.  By virtue of this transitional provision, the Group had recorded certain buildings at revalued amounts but had not adopted a policy of revaluation and continued to carry those buildings on the basis of their previous revaluations subject to continuity in its depreciation policy and requirement to write down the assets to their recoverable amounts for impairment adjustments.</w:t>
      </w:r>
    </w:p>
    <w:p w:rsidR="002B2C6A" w:rsidRDefault="002B2C6A" w:rsidP="003B72A0">
      <w:pPr>
        <w:pStyle w:val="BodyText2"/>
        <w:spacing w:before="90" w:line="260" w:lineRule="exact"/>
        <w:ind w:left="1418"/>
        <w:rPr>
          <w:rFonts w:ascii="Times New Roman" w:hAnsi="Times New Roman"/>
          <w:sz w:val="24"/>
          <w:szCs w:val="24"/>
        </w:rPr>
      </w:pPr>
    </w:p>
    <w:p w:rsidR="002B2C6A" w:rsidRDefault="00F23B89" w:rsidP="003B72A0">
      <w:pPr>
        <w:pStyle w:val="BodyText2"/>
        <w:spacing w:before="90" w:line="260" w:lineRule="exact"/>
        <w:ind w:left="1418"/>
        <w:rPr>
          <w:rFonts w:ascii="Times New Roman" w:hAnsi="Times New Roman"/>
          <w:sz w:val="24"/>
          <w:szCs w:val="24"/>
        </w:rPr>
      </w:pPr>
      <w:r>
        <w:rPr>
          <w:rFonts w:ascii="Times New Roman" w:hAnsi="Times New Roman"/>
          <w:sz w:val="24"/>
          <w:szCs w:val="24"/>
        </w:rPr>
        <w:t xml:space="preserve">Upon transition to MFRS, the Group has elected to measure all its property, plant and equipment using the </w:t>
      </w:r>
      <w:r>
        <w:rPr>
          <w:rFonts w:ascii="Times New Roman" w:hAnsi="Times New Roman"/>
          <w:sz w:val="24"/>
          <w:szCs w:val="24"/>
        </w:rPr>
        <w:lastRenderedPageBreak/>
        <w:t>cost model under MFRS 116 Property, Plant and Equipment.  At the date of transition to MFRS, the Group elected to:</w:t>
      </w:r>
    </w:p>
    <w:p w:rsidR="00E1675F" w:rsidRDefault="00E1675F" w:rsidP="003B72A0">
      <w:pPr>
        <w:pStyle w:val="BodyText2"/>
        <w:spacing w:before="90" w:line="260" w:lineRule="exact"/>
        <w:ind w:left="1418"/>
        <w:rPr>
          <w:rFonts w:ascii="Times New Roman" w:hAnsi="Times New Roman"/>
          <w:sz w:val="24"/>
          <w:szCs w:val="24"/>
        </w:rPr>
      </w:pPr>
    </w:p>
    <w:p w:rsidR="00E1675F" w:rsidRDefault="00E1675F" w:rsidP="003B72A0">
      <w:pPr>
        <w:pStyle w:val="BodyText2"/>
        <w:numPr>
          <w:ilvl w:val="0"/>
          <w:numId w:val="30"/>
        </w:numPr>
        <w:spacing w:before="90" w:line="260" w:lineRule="exact"/>
        <w:ind w:hanging="578"/>
        <w:rPr>
          <w:rFonts w:ascii="Times New Roman" w:hAnsi="Times New Roman"/>
          <w:sz w:val="24"/>
          <w:szCs w:val="24"/>
        </w:rPr>
      </w:pPr>
      <w:r>
        <w:rPr>
          <w:rFonts w:ascii="Times New Roman" w:hAnsi="Times New Roman"/>
          <w:sz w:val="24"/>
          <w:szCs w:val="24"/>
        </w:rPr>
        <w:t xml:space="preserve">Regard the revalued amounts of buildings as at 1 July 1997 as deemed cost at the date of the revaluation as these amounts were broadly comparable to fair value at that date.  The revaluation surplus </w:t>
      </w:r>
      <w:r w:rsidR="00021344">
        <w:rPr>
          <w:rFonts w:ascii="Times New Roman" w:hAnsi="Times New Roman"/>
          <w:sz w:val="24"/>
          <w:szCs w:val="24"/>
        </w:rPr>
        <w:t>RM101,000 (3</w:t>
      </w:r>
      <w:r w:rsidR="00F77B6E">
        <w:rPr>
          <w:rFonts w:ascii="Times New Roman" w:hAnsi="Times New Roman"/>
          <w:sz w:val="24"/>
          <w:szCs w:val="24"/>
        </w:rPr>
        <w:t>1</w:t>
      </w:r>
      <w:r w:rsidR="00021344">
        <w:rPr>
          <w:rFonts w:ascii="Times New Roman" w:hAnsi="Times New Roman"/>
          <w:sz w:val="24"/>
          <w:szCs w:val="24"/>
        </w:rPr>
        <w:t xml:space="preserve"> </w:t>
      </w:r>
      <w:r w:rsidR="00C85DDA">
        <w:rPr>
          <w:rFonts w:ascii="Times New Roman" w:hAnsi="Times New Roman"/>
          <w:sz w:val="24"/>
          <w:szCs w:val="24"/>
        </w:rPr>
        <w:t>March</w:t>
      </w:r>
      <w:r w:rsidR="00021344">
        <w:rPr>
          <w:rFonts w:ascii="Times New Roman" w:hAnsi="Times New Roman"/>
          <w:sz w:val="24"/>
          <w:szCs w:val="24"/>
        </w:rPr>
        <w:t xml:space="preserve"> 201</w:t>
      </w:r>
      <w:r w:rsidR="00C85DDA">
        <w:rPr>
          <w:rFonts w:ascii="Times New Roman" w:hAnsi="Times New Roman"/>
          <w:sz w:val="24"/>
          <w:szCs w:val="24"/>
        </w:rPr>
        <w:t>2</w:t>
      </w:r>
      <w:r w:rsidR="00021344">
        <w:rPr>
          <w:rFonts w:ascii="Times New Roman" w:hAnsi="Times New Roman"/>
          <w:sz w:val="24"/>
          <w:szCs w:val="24"/>
        </w:rPr>
        <w:t>:  RM101,000; 30 June 2012:  RM101,000) was transferred to retained earnings on date of transition to MFRS.</w:t>
      </w:r>
    </w:p>
    <w:p w:rsidR="00021344" w:rsidRDefault="00021344" w:rsidP="00021344">
      <w:pPr>
        <w:pStyle w:val="BodyText2"/>
        <w:spacing w:before="90" w:line="260" w:lineRule="exact"/>
        <w:ind w:left="1996"/>
        <w:rPr>
          <w:rFonts w:ascii="Times New Roman" w:hAnsi="Times New Roman"/>
          <w:sz w:val="24"/>
          <w:szCs w:val="24"/>
        </w:rPr>
      </w:pPr>
    </w:p>
    <w:p w:rsidR="00B30EEC" w:rsidRDefault="00C425EA" w:rsidP="003B72A0">
      <w:pPr>
        <w:pStyle w:val="BodyText2"/>
        <w:numPr>
          <w:ilvl w:val="0"/>
          <w:numId w:val="28"/>
        </w:numPr>
        <w:spacing w:before="90" w:line="260" w:lineRule="exact"/>
        <w:ind w:left="1418" w:hanging="709"/>
        <w:rPr>
          <w:rFonts w:ascii="Times New Roman" w:hAnsi="Times New Roman"/>
          <w:sz w:val="24"/>
          <w:szCs w:val="24"/>
        </w:rPr>
      </w:pPr>
      <w:r>
        <w:rPr>
          <w:rFonts w:ascii="Times New Roman" w:hAnsi="Times New Roman"/>
          <w:sz w:val="24"/>
          <w:szCs w:val="24"/>
        </w:rPr>
        <w:t>Foreign currency translation reserve</w:t>
      </w:r>
    </w:p>
    <w:p w:rsidR="00C425EA" w:rsidRDefault="00C425EA" w:rsidP="00C425EA">
      <w:pPr>
        <w:pStyle w:val="BodyText2"/>
        <w:spacing w:before="90" w:line="260" w:lineRule="exact"/>
        <w:ind w:left="1440"/>
        <w:rPr>
          <w:rFonts w:ascii="Times New Roman" w:hAnsi="Times New Roman"/>
          <w:sz w:val="24"/>
          <w:szCs w:val="24"/>
        </w:rPr>
      </w:pPr>
      <w:r>
        <w:rPr>
          <w:rFonts w:ascii="Times New Roman" w:hAnsi="Times New Roman"/>
          <w:sz w:val="24"/>
          <w:szCs w:val="24"/>
        </w:rPr>
        <w:t>Under FRS, the Group recognised translation differences on foreign operations in a separate component of equity.  Cumulative foreign currency translation differences for all foreign operations are deemed to be zero as at the date of transition to MFRS. Accordingly, at date of transition to MFRS, the cumulative foreign currency translation differences of RM</w:t>
      </w:r>
      <w:r w:rsidR="00021344">
        <w:rPr>
          <w:rFonts w:ascii="Times New Roman" w:hAnsi="Times New Roman"/>
          <w:sz w:val="24"/>
          <w:szCs w:val="24"/>
        </w:rPr>
        <w:t>34</w:t>
      </w:r>
      <w:r w:rsidR="00EE6D81">
        <w:rPr>
          <w:rFonts w:ascii="Times New Roman" w:hAnsi="Times New Roman"/>
          <w:sz w:val="24"/>
          <w:szCs w:val="24"/>
        </w:rPr>
        <w:t>7</w:t>
      </w:r>
      <w:r w:rsidR="00361955">
        <w:rPr>
          <w:rFonts w:ascii="Times New Roman" w:hAnsi="Times New Roman"/>
          <w:sz w:val="24"/>
          <w:szCs w:val="24"/>
        </w:rPr>
        <w:t>,000 (3</w:t>
      </w:r>
      <w:r w:rsidR="009214B2">
        <w:rPr>
          <w:rFonts w:ascii="Times New Roman" w:hAnsi="Times New Roman"/>
          <w:sz w:val="24"/>
          <w:szCs w:val="24"/>
        </w:rPr>
        <w:t>1</w:t>
      </w:r>
      <w:r w:rsidR="00361955">
        <w:rPr>
          <w:rFonts w:ascii="Times New Roman" w:hAnsi="Times New Roman"/>
          <w:sz w:val="24"/>
          <w:szCs w:val="24"/>
        </w:rPr>
        <w:t xml:space="preserve"> </w:t>
      </w:r>
      <w:r w:rsidR="00C85DDA">
        <w:rPr>
          <w:rFonts w:ascii="Times New Roman" w:hAnsi="Times New Roman"/>
          <w:sz w:val="24"/>
          <w:szCs w:val="24"/>
        </w:rPr>
        <w:t>March 2012</w:t>
      </w:r>
      <w:r w:rsidR="009214B2">
        <w:rPr>
          <w:rFonts w:ascii="Times New Roman" w:hAnsi="Times New Roman"/>
          <w:sz w:val="24"/>
          <w:szCs w:val="24"/>
        </w:rPr>
        <w:t xml:space="preserve"> : RM</w:t>
      </w:r>
      <w:r w:rsidR="00C85DDA">
        <w:rPr>
          <w:rFonts w:ascii="Times New Roman" w:hAnsi="Times New Roman"/>
          <w:sz w:val="24"/>
          <w:szCs w:val="24"/>
        </w:rPr>
        <w:t>42</w:t>
      </w:r>
      <w:r w:rsidR="00361955">
        <w:rPr>
          <w:rFonts w:ascii="Times New Roman" w:hAnsi="Times New Roman"/>
          <w:sz w:val="24"/>
          <w:szCs w:val="24"/>
        </w:rPr>
        <w:t>,000; 30 June 2012 : 259,000) were adjusted to retained earnings.</w:t>
      </w:r>
    </w:p>
    <w:p w:rsidR="00361955" w:rsidRDefault="00361955" w:rsidP="00C425EA">
      <w:pPr>
        <w:pStyle w:val="BodyText2"/>
        <w:spacing w:before="90" w:line="260" w:lineRule="exact"/>
        <w:ind w:left="1440"/>
        <w:rPr>
          <w:rFonts w:ascii="Times New Roman" w:hAnsi="Times New Roman"/>
          <w:sz w:val="24"/>
          <w:szCs w:val="24"/>
        </w:rPr>
      </w:pPr>
    </w:p>
    <w:p w:rsidR="005F1182" w:rsidRDefault="005F1182" w:rsidP="00E61D82">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In the preparation of the Group’s opening MFRS statements of financial positions, the amounts previously reported in accordance with FRS framework have been adjusted for the financial effects </w:t>
      </w:r>
      <w:r>
        <w:rPr>
          <w:rFonts w:ascii="Times New Roman" w:hAnsi="Times New Roman"/>
          <w:sz w:val="24"/>
          <w:szCs w:val="24"/>
        </w:rPr>
        <w:lastRenderedPageBreak/>
        <w:t>of the adoption of the MFRS framework.  A reconciliation of these changes is summaries in the following tables.</w:t>
      </w:r>
    </w:p>
    <w:p w:rsidR="005F1182" w:rsidRDefault="005F1182" w:rsidP="00E61D82">
      <w:pPr>
        <w:pStyle w:val="BodyText2"/>
        <w:spacing w:before="90" w:line="260" w:lineRule="exact"/>
        <w:ind w:left="709"/>
        <w:rPr>
          <w:rFonts w:ascii="Times New Roman" w:hAnsi="Times New Roman"/>
          <w:sz w:val="24"/>
          <w:szCs w:val="24"/>
        </w:rPr>
      </w:pPr>
    </w:p>
    <w:p w:rsidR="005F1182" w:rsidRDefault="005F1182">
      <w:pPr>
        <w:overflowPunct/>
        <w:autoSpaceDE/>
        <w:autoSpaceDN/>
        <w:adjustRightInd/>
        <w:textAlignment w:val="auto"/>
        <w:rPr>
          <w:sz w:val="24"/>
          <w:szCs w:val="24"/>
          <w:lang w:val="en-GB"/>
        </w:rPr>
      </w:pPr>
      <w:r>
        <w:rPr>
          <w:sz w:val="24"/>
          <w:szCs w:val="24"/>
        </w:rPr>
        <w:br w:type="page"/>
      </w:r>
    </w:p>
    <w:p w:rsidR="005F1182" w:rsidRPr="00C425EA" w:rsidRDefault="005F1182" w:rsidP="005F1182">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5F1182" w:rsidRDefault="005F1182" w:rsidP="00271FD8">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1 July 2011</w:t>
      </w:r>
    </w:p>
    <w:p w:rsidR="002B2C6A" w:rsidRDefault="002B2C6A" w:rsidP="00E61D82">
      <w:pPr>
        <w:pStyle w:val="BodyText2"/>
        <w:spacing w:before="90" w:line="260" w:lineRule="exact"/>
        <w:ind w:left="70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5F1182" w:rsidTr="002B2C6A">
        <w:tc>
          <w:tcPr>
            <w:tcW w:w="3496" w:type="dxa"/>
          </w:tcPr>
          <w:p w:rsidR="005F1182" w:rsidRDefault="005F1182" w:rsidP="00E61D82">
            <w:pPr>
              <w:pStyle w:val="Heading2"/>
              <w:spacing w:before="0" w:after="0"/>
              <w:jc w:val="both"/>
              <w:outlineLvl w:val="1"/>
              <w:rPr>
                <w:b w:val="0"/>
                <w:i w:val="0"/>
                <w:sz w:val="24"/>
                <w:szCs w:val="24"/>
              </w:rPr>
            </w:pPr>
          </w:p>
        </w:tc>
        <w:tc>
          <w:tcPr>
            <w:tcW w:w="1607" w:type="dxa"/>
          </w:tcPr>
          <w:p w:rsidR="00021344" w:rsidRDefault="00021344" w:rsidP="005F1182">
            <w:pPr>
              <w:pStyle w:val="Heading2"/>
              <w:spacing w:before="0" w:after="0"/>
              <w:jc w:val="right"/>
              <w:outlineLvl w:val="1"/>
              <w:rPr>
                <w:b w:val="0"/>
                <w:i w:val="0"/>
                <w:sz w:val="24"/>
                <w:szCs w:val="24"/>
              </w:rPr>
            </w:pPr>
          </w:p>
          <w:p w:rsidR="005F1182" w:rsidRDefault="005F1182" w:rsidP="005F1182">
            <w:pPr>
              <w:pStyle w:val="Heading2"/>
              <w:spacing w:before="0" w:after="0"/>
              <w:jc w:val="right"/>
              <w:outlineLvl w:val="1"/>
              <w:rPr>
                <w:b w:val="0"/>
                <w:i w:val="0"/>
                <w:sz w:val="24"/>
                <w:szCs w:val="24"/>
              </w:rPr>
            </w:pPr>
            <w:r>
              <w:rPr>
                <w:b w:val="0"/>
                <w:i w:val="0"/>
                <w:sz w:val="24"/>
                <w:szCs w:val="24"/>
              </w:rPr>
              <w:t>Under FRS Framework</w:t>
            </w:r>
          </w:p>
        </w:tc>
        <w:tc>
          <w:tcPr>
            <w:tcW w:w="1984" w:type="dxa"/>
          </w:tcPr>
          <w:p w:rsidR="005F1182" w:rsidRDefault="005F1182" w:rsidP="00021344">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021344" w:rsidRDefault="00021344" w:rsidP="005F1182">
            <w:pPr>
              <w:pStyle w:val="Heading2"/>
              <w:spacing w:before="0" w:after="0"/>
              <w:jc w:val="right"/>
              <w:outlineLvl w:val="1"/>
              <w:rPr>
                <w:b w:val="0"/>
                <w:i w:val="0"/>
                <w:sz w:val="24"/>
                <w:szCs w:val="24"/>
              </w:rPr>
            </w:pPr>
          </w:p>
          <w:p w:rsidR="005F1182" w:rsidRDefault="005F1182" w:rsidP="005F1182">
            <w:pPr>
              <w:pStyle w:val="Heading2"/>
              <w:spacing w:before="0" w:after="0"/>
              <w:jc w:val="right"/>
              <w:outlineLvl w:val="1"/>
              <w:rPr>
                <w:b w:val="0"/>
                <w:i w:val="0"/>
                <w:sz w:val="24"/>
                <w:szCs w:val="24"/>
              </w:rPr>
            </w:pPr>
            <w:r>
              <w:rPr>
                <w:b w:val="0"/>
                <w:i w:val="0"/>
                <w:sz w:val="24"/>
                <w:szCs w:val="24"/>
              </w:rPr>
              <w:t>Under MFRS Framework</w:t>
            </w:r>
          </w:p>
        </w:tc>
      </w:tr>
      <w:tr w:rsidR="005F1182" w:rsidRPr="002B2C6A" w:rsidTr="002B2C6A">
        <w:tc>
          <w:tcPr>
            <w:tcW w:w="3496" w:type="dxa"/>
            <w:shd w:val="clear" w:color="auto" w:fill="D9D9D9" w:themeFill="background1" w:themeFillShade="D9"/>
          </w:tcPr>
          <w:p w:rsidR="005F1182" w:rsidRPr="002B2C6A" w:rsidRDefault="005F1182" w:rsidP="00E61D82">
            <w:pPr>
              <w:pStyle w:val="Heading2"/>
              <w:spacing w:before="0" w:after="0"/>
              <w:jc w:val="both"/>
              <w:outlineLvl w:val="1"/>
              <w:rPr>
                <w:i w:val="0"/>
                <w:sz w:val="24"/>
                <w:szCs w:val="24"/>
              </w:rPr>
            </w:pPr>
            <w:r w:rsidRPr="002B2C6A">
              <w:rPr>
                <w:i w:val="0"/>
                <w:sz w:val="24"/>
                <w:szCs w:val="24"/>
              </w:rPr>
              <w:t>ASSETS</w:t>
            </w:r>
          </w:p>
        </w:tc>
        <w:tc>
          <w:tcPr>
            <w:tcW w:w="1607" w:type="dxa"/>
            <w:shd w:val="clear" w:color="auto" w:fill="D9D9D9" w:themeFill="background1" w:themeFillShade="D9"/>
          </w:tcPr>
          <w:p w:rsidR="005F1182" w:rsidRPr="002B2C6A" w:rsidRDefault="005F1182" w:rsidP="005F1182">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5F1182" w:rsidRPr="002B2C6A" w:rsidRDefault="005F1182" w:rsidP="005F1182">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5F1182" w:rsidRPr="002B2C6A" w:rsidRDefault="005F1182" w:rsidP="005F1182">
            <w:pPr>
              <w:pStyle w:val="Heading2"/>
              <w:spacing w:before="0" w:after="0"/>
              <w:jc w:val="right"/>
              <w:outlineLvl w:val="1"/>
              <w:rPr>
                <w:i w:val="0"/>
                <w:sz w:val="24"/>
                <w:szCs w:val="24"/>
              </w:rPr>
            </w:pPr>
            <w:r w:rsidRPr="002B2C6A">
              <w:rPr>
                <w:i w:val="0"/>
                <w:sz w:val="24"/>
                <w:szCs w:val="24"/>
              </w:rPr>
              <w:t>RM’000</w:t>
            </w:r>
          </w:p>
        </w:tc>
      </w:tr>
      <w:tr w:rsidR="00E34A43" w:rsidTr="002B2C6A">
        <w:tc>
          <w:tcPr>
            <w:tcW w:w="3496" w:type="dxa"/>
          </w:tcPr>
          <w:p w:rsidR="00E34A43" w:rsidRPr="00E34A43" w:rsidRDefault="00E34A43" w:rsidP="00E61D82">
            <w:pPr>
              <w:pStyle w:val="Heading2"/>
              <w:spacing w:before="0" w:after="0"/>
              <w:jc w:val="both"/>
              <w:outlineLvl w:val="1"/>
              <w:rPr>
                <w:i w:val="0"/>
                <w:sz w:val="24"/>
                <w:szCs w:val="24"/>
              </w:rPr>
            </w:pPr>
            <w:r w:rsidRPr="00E34A43">
              <w:rPr>
                <w:i w:val="0"/>
                <w:sz w:val="24"/>
                <w:szCs w:val="24"/>
              </w:rPr>
              <w:t>Non-current assets</w:t>
            </w:r>
          </w:p>
        </w:tc>
        <w:tc>
          <w:tcPr>
            <w:tcW w:w="1607" w:type="dxa"/>
          </w:tcPr>
          <w:p w:rsidR="00E34A43" w:rsidRDefault="00E34A43" w:rsidP="005F1182">
            <w:pPr>
              <w:pStyle w:val="Heading2"/>
              <w:spacing w:before="0" w:after="0"/>
              <w:jc w:val="right"/>
              <w:outlineLvl w:val="1"/>
              <w:rPr>
                <w:b w:val="0"/>
                <w:i w:val="0"/>
                <w:sz w:val="24"/>
                <w:szCs w:val="24"/>
              </w:rPr>
            </w:pPr>
          </w:p>
        </w:tc>
        <w:tc>
          <w:tcPr>
            <w:tcW w:w="1984" w:type="dxa"/>
          </w:tcPr>
          <w:p w:rsidR="00E34A43" w:rsidRDefault="00E34A43" w:rsidP="005F1182">
            <w:pPr>
              <w:pStyle w:val="Heading2"/>
              <w:spacing w:before="0" w:after="0"/>
              <w:jc w:val="right"/>
              <w:outlineLvl w:val="1"/>
              <w:rPr>
                <w:b w:val="0"/>
                <w:i w:val="0"/>
                <w:sz w:val="24"/>
                <w:szCs w:val="24"/>
              </w:rPr>
            </w:pPr>
          </w:p>
        </w:tc>
        <w:tc>
          <w:tcPr>
            <w:tcW w:w="1530" w:type="dxa"/>
          </w:tcPr>
          <w:p w:rsidR="00E34A43" w:rsidRDefault="00E34A43" w:rsidP="005F1182">
            <w:pPr>
              <w:pStyle w:val="Heading2"/>
              <w:spacing w:before="0" w:after="0"/>
              <w:jc w:val="right"/>
              <w:outlineLvl w:val="1"/>
              <w:rPr>
                <w:b w:val="0"/>
                <w:i w:val="0"/>
                <w:sz w:val="24"/>
                <w:szCs w:val="24"/>
              </w:rPr>
            </w:pPr>
          </w:p>
        </w:tc>
      </w:tr>
      <w:tr w:rsidR="005F1182" w:rsidTr="002B2C6A">
        <w:tc>
          <w:tcPr>
            <w:tcW w:w="3496" w:type="dxa"/>
          </w:tcPr>
          <w:p w:rsidR="005F1182" w:rsidRDefault="005F1182" w:rsidP="00E61D82">
            <w:pPr>
              <w:pStyle w:val="Heading2"/>
              <w:spacing w:before="0" w:after="0"/>
              <w:jc w:val="both"/>
              <w:outlineLvl w:val="1"/>
              <w:rPr>
                <w:b w:val="0"/>
                <w:i w:val="0"/>
                <w:sz w:val="24"/>
                <w:szCs w:val="24"/>
              </w:rPr>
            </w:pPr>
            <w:r>
              <w:rPr>
                <w:b w:val="0"/>
                <w:i w:val="0"/>
                <w:sz w:val="24"/>
                <w:szCs w:val="24"/>
              </w:rPr>
              <w:t>Property, plant and equipment</w:t>
            </w:r>
          </w:p>
        </w:tc>
        <w:tc>
          <w:tcPr>
            <w:tcW w:w="1607" w:type="dxa"/>
          </w:tcPr>
          <w:p w:rsidR="005F1182" w:rsidRDefault="00B24C5E" w:rsidP="005F1182">
            <w:pPr>
              <w:pStyle w:val="Heading2"/>
              <w:spacing w:before="0" w:after="0"/>
              <w:jc w:val="right"/>
              <w:outlineLvl w:val="1"/>
              <w:rPr>
                <w:b w:val="0"/>
                <w:i w:val="0"/>
                <w:sz w:val="24"/>
                <w:szCs w:val="24"/>
              </w:rPr>
            </w:pPr>
            <w:r>
              <w:rPr>
                <w:b w:val="0"/>
                <w:i w:val="0"/>
                <w:sz w:val="24"/>
                <w:szCs w:val="24"/>
              </w:rPr>
              <w:t>157,706</w:t>
            </w:r>
          </w:p>
        </w:tc>
        <w:tc>
          <w:tcPr>
            <w:tcW w:w="1984" w:type="dxa"/>
          </w:tcPr>
          <w:p w:rsidR="005F1182" w:rsidRDefault="00B24C5E" w:rsidP="005F1182">
            <w:pPr>
              <w:pStyle w:val="Heading2"/>
              <w:spacing w:before="0" w:after="0"/>
              <w:jc w:val="right"/>
              <w:outlineLvl w:val="1"/>
              <w:rPr>
                <w:b w:val="0"/>
                <w:i w:val="0"/>
                <w:sz w:val="24"/>
                <w:szCs w:val="24"/>
              </w:rPr>
            </w:pPr>
            <w:r>
              <w:rPr>
                <w:b w:val="0"/>
                <w:i w:val="0"/>
                <w:sz w:val="24"/>
                <w:szCs w:val="24"/>
              </w:rPr>
              <w:t>-</w:t>
            </w:r>
          </w:p>
        </w:tc>
        <w:tc>
          <w:tcPr>
            <w:tcW w:w="1530" w:type="dxa"/>
          </w:tcPr>
          <w:p w:rsidR="005F1182" w:rsidRDefault="00B24C5E" w:rsidP="005F1182">
            <w:pPr>
              <w:pStyle w:val="Heading2"/>
              <w:spacing w:before="0" w:after="0"/>
              <w:jc w:val="right"/>
              <w:outlineLvl w:val="1"/>
              <w:rPr>
                <w:b w:val="0"/>
                <w:i w:val="0"/>
                <w:sz w:val="24"/>
                <w:szCs w:val="24"/>
              </w:rPr>
            </w:pPr>
            <w:r>
              <w:rPr>
                <w:b w:val="0"/>
                <w:i w:val="0"/>
                <w:sz w:val="24"/>
                <w:szCs w:val="24"/>
              </w:rPr>
              <w:t>157,706</w:t>
            </w:r>
          </w:p>
        </w:tc>
      </w:tr>
      <w:tr w:rsidR="00B24C5E" w:rsidTr="002B2C6A">
        <w:tc>
          <w:tcPr>
            <w:tcW w:w="3496" w:type="dxa"/>
          </w:tcPr>
          <w:p w:rsidR="00B24C5E" w:rsidRDefault="00B24C5E" w:rsidP="00E61D82">
            <w:pPr>
              <w:pStyle w:val="Heading2"/>
              <w:spacing w:before="0" w:after="0"/>
              <w:jc w:val="both"/>
              <w:outlineLvl w:val="1"/>
              <w:rPr>
                <w:b w:val="0"/>
                <w:i w:val="0"/>
                <w:sz w:val="24"/>
                <w:szCs w:val="24"/>
              </w:rPr>
            </w:pPr>
            <w:r>
              <w:rPr>
                <w:b w:val="0"/>
                <w:i w:val="0"/>
                <w:sz w:val="24"/>
                <w:szCs w:val="24"/>
              </w:rPr>
              <w:t>Investment properties</w:t>
            </w:r>
          </w:p>
        </w:tc>
        <w:tc>
          <w:tcPr>
            <w:tcW w:w="1607" w:type="dxa"/>
          </w:tcPr>
          <w:p w:rsidR="00B24C5E" w:rsidRDefault="00B24C5E" w:rsidP="005F1182">
            <w:pPr>
              <w:pStyle w:val="Heading2"/>
              <w:spacing w:before="0" w:after="0"/>
              <w:jc w:val="right"/>
              <w:outlineLvl w:val="1"/>
              <w:rPr>
                <w:b w:val="0"/>
                <w:i w:val="0"/>
                <w:sz w:val="24"/>
                <w:szCs w:val="24"/>
              </w:rPr>
            </w:pPr>
            <w:r>
              <w:rPr>
                <w:b w:val="0"/>
                <w:i w:val="0"/>
                <w:sz w:val="24"/>
                <w:szCs w:val="24"/>
              </w:rPr>
              <w:t>9,375</w:t>
            </w:r>
          </w:p>
        </w:tc>
        <w:tc>
          <w:tcPr>
            <w:tcW w:w="1984" w:type="dxa"/>
          </w:tcPr>
          <w:p w:rsidR="00B24C5E" w:rsidRDefault="00B24C5E" w:rsidP="005F1182">
            <w:pPr>
              <w:pStyle w:val="Heading2"/>
              <w:spacing w:before="0" w:after="0"/>
              <w:jc w:val="right"/>
              <w:outlineLvl w:val="1"/>
              <w:rPr>
                <w:b w:val="0"/>
                <w:i w:val="0"/>
                <w:sz w:val="24"/>
                <w:szCs w:val="24"/>
              </w:rPr>
            </w:pPr>
            <w:r>
              <w:rPr>
                <w:b w:val="0"/>
                <w:i w:val="0"/>
                <w:sz w:val="24"/>
                <w:szCs w:val="24"/>
              </w:rPr>
              <w:t>-</w:t>
            </w:r>
          </w:p>
        </w:tc>
        <w:tc>
          <w:tcPr>
            <w:tcW w:w="1530" w:type="dxa"/>
          </w:tcPr>
          <w:p w:rsidR="00B24C5E" w:rsidRDefault="00B24C5E" w:rsidP="005F1182">
            <w:pPr>
              <w:pStyle w:val="Heading2"/>
              <w:spacing w:before="0" w:after="0"/>
              <w:jc w:val="right"/>
              <w:outlineLvl w:val="1"/>
              <w:rPr>
                <w:b w:val="0"/>
                <w:i w:val="0"/>
                <w:sz w:val="24"/>
                <w:szCs w:val="24"/>
              </w:rPr>
            </w:pPr>
            <w:r>
              <w:rPr>
                <w:b w:val="0"/>
                <w:i w:val="0"/>
                <w:sz w:val="24"/>
                <w:szCs w:val="24"/>
              </w:rPr>
              <w:t>9,375</w:t>
            </w:r>
          </w:p>
        </w:tc>
      </w:tr>
      <w:tr w:rsidR="00B24C5E" w:rsidTr="002B2C6A">
        <w:tc>
          <w:tcPr>
            <w:tcW w:w="3496" w:type="dxa"/>
          </w:tcPr>
          <w:p w:rsidR="00B24C5E" w:rsidRDefault="00B24C5E" w:rsidP="00E61D82">
            <w:pPr>
              <w:pStyle w:val="Heading2"/>
              <w:spacing w:before="0" w:after="0"/>
              <w:jc w:val="both"/>
              <w:outlineLvl w:val="1"/>
              <w:rPr>
                <w:b w:val="0"/>
                <w:i w:val="0"/>
                <w:sz w:val="24"/>
                <w:szCs w:val="24"/>
              </w:rPr>
            </w:pPr>
            <w:r>
              <w:rPr>
                <w:b w:val="0"/>
                <w:i w:val="0"/>
                <w:sz w:val="24"/>
                <w:szCs w:val="24"/>
              </w:rPr>
              <w:t>Prepaid land lease payments</w:t>
            </w:r>
          </w:p>
        </w:tc>
        <w:tc>
          <w:tcPr>
            <w:tcW w:w="1607" w:type="dxa"/>
          </w:tcPr>
          <w:p w:rsidR="00B24C5E" w:rsidRDefault="00B24C5E" w:rsidP="005F1182">
            <w:pPr>
              <w:pStyle w:val="Heading2"/>
              <w:spacing w:before="0" w:after="0"/>
              <w:jc w:val="right"/>
              <w:outlineLvl w:val="1"/>
              <w:rPr>
                <w:b w:val="0"/>
                <w:i w:val="0"/>
                <w:sz w:val="24"/>
                <w:szCs w:val="24"/>
              </w:rPr>
            </w:pPr>
            <w:r>
              <w:rPr>
                <w:b w:val="0"/>
                <w:i w:val="0"/>
                <w:sz w:val="24"/>
                <w:szCs w:val="24"/>
              </w:rPr>
              <w:t>45,451</w:t>
            </w:r>
          </w:p>
        </w:tc>
        <w:tc>
          <w:tcPr>
            <w:tcW w:w="1984" w:type="dxa"/>
          </w:tcPr>
          <w:p w:rsidR="00B24C5E" w:rsidRDefault="00B24C5E" w:rsidP="005F1182">
            <w:pPr>
              <w:pStyle w:val="Heading2"/>
              <w:spacing w:before="0" w:after="0"/>
              <w:jc w:val="right"/>
              <w:outlineLvl w:val="1"/>
              <w:rPr>
                <w:b w:val="0"/>
                <w:i w:val="0"/>
                <w:sz w:val="24"/>
                <w:szCs w:val="24"/>
              </w:rPr>
            </w:pPr>
            <w:r>
              <w:rPr>
                <w:b w:val="0"/>
                <w:i w:val="0"/>
                <w:sz w:val="24"/>
                <w:szCs w:val="24"/>
              </w:rPr>
              <w:t>-</w:t>
            </w:r>
          </w:p>
        </w:tc>
        <w:tc>
          <w:tcPr>
            <w:tcW w:w="1530" w:type="dxa"/>
          </w:tcPr>
          <w:p w:rsidR="00B24C5E" w:rsidRDefault="00B24C5E" w:rsidP="005F1182">
            <w:pPr>
              <w:pStyle w:val="Heading2"/>
              <w:spacing w:before="0" w:after="0"/>
              <w:jc w:val="right"/>
              <w:outlineLvl w:val="1"/>
              <w:rPr>
                <w:b w:val="0"/>
                <w:i w:val="0"/>
                <w:sz w:val="24"/>
                <w:szCs w:val="24"/>
              </w:rPr>
            </w:pPr>
            <w:r>
              <w:rPr>
                <w:b w:val="0"/>
                <w:i w:val="0"/>
                <w:sz w:val="24"/>
                <w:szCs w:val="24"/>
              </w:rPr>
              <w:t>45,451</w:t>
            </w:r>
          </w:p>
        </w:tc>
      </w:tr>
      <w:tr w:rsidR="00B24C5E" w:rsidTr="002B2C6A">
        <w:tc>
          <w:tcPr>
            <w:tcW w:w="3496" w:type="dxa"/>
          </w:tcPr>
          <w:p w:rsidR="00B24C5E" w:rsidRDefault="00E34A43" w:rsidP="00E61D82">
            <w:pPr>
              <w:pStyle w:val="Heading2"/>
              <w:spacing w:before="0" w:after="0"/>
              <w:jc w:val="both"/>
              <w:outlineLvl w:val="1"/>
              <w:rPr>
                <w:b w:val="0"/>
                <w:i w:val="0"/>
                <w:sz w:val="24"/>
                <w:szCs w:val="24"/>
              </w:rPr>
            </w:pPr>
            <w:r>
              <w:rPr>
                <w:b w:val="0"/>
                <w:i w:val="0"/>
                <w:sz w:val="24"/>
                <w:szCs w:val="24"/>
              </w:rPr>
              <w:t>Intangible assets</w:t>
            </w:r>
          </w:p>
        </w:tc>
        <w:tc>
          <w:tcPr>
            <w:tcW w:w="1607" w:type="dxa"/>
          </w:tcPr>
          <w:p w:rsidR="00B24C5E" w:rsidRDefault="00E34A43" w:rsidP="00A90525">
            <w:pPr>
              <w:pStyle w:val="Heading2"/>
              <w:spacing w:before="0" w:after="0"/>
              <w:jc w:val="right"/>
              <w:outlineLvl w:val="1"/>
              <w:rPr>
                <w:b w:val="0"/>
                <w:i w:val="0"/>
                <w:sz w:val="24"/>
                <w:szCs w:val="24"/>
              </w:rPr>
            </w:pPr>
            <w:r>
              <w:rPr>
                <w:b w:val="0"/>
                <w:i w:val="0"/>
                <w:sz w:val="24"/>
                <w:szCs w:val="24"/>
              </w:rPr>
              <w:t>94,59</w:t>
            </w:r>
            <w:r w:rsidR="00A90525">
              <w:rPr>
                <w:b w:val="0"/>
                <w:i w:val="0"/>
                <w:sz w:val="24"/>
                <w:szCs w:val="24"/>
              </w:rPr>
              <w:t>2</w:t>
            </w:r>
          </w:p>
        </w:tc>
        <w:tc>
          <w:tcPr>
            <w:tcW w:w="1984" w:type="dxa"/>
          </w:tcPr>
          <w:p w:rsidR="00B24C5E" w:rsidRDefault="00E34A43" w:rsidP="005F1182">
            <w:pPr>
              <w:pStyle w:val="Heading2"/>
              <w:spacing w:before="0" w:after="0"/>
              <w:jc w:val="right"/>
              <w:outlineLvl w:val="1"/>
              <w:rPr>
                <w:b w:val="0"/>
                <w:i w:val="0"/>
                <w:sz w:val="24"/>
                <w:szCs w:val="24"/>
              </w:rPr>
            </w:pPr>
            <w:r>
              <w:rPr>
                <w:b w:val="0"/>
                <w:i w:val="0"/>
                <w:sz w:val="24"/>
                <w:szCs w:val="24"/>
              </w:rPr>
              <w:t>-</w:t>
            </w:r>
          </w:p>
        </w:tc>
        <w:tc>
          <w:tcPr>
            <w:tcW w:w="1530" w:type="dxa"/>
          </w:tcPr>
          <w:p w:rsidR="00B24C5E" w:rsidRDefault="00E34A43" w:rsidP="00A90525">
            <w:pPr>
              <w:pStyle w:val="Heading2"/>
              <w:spacing w:before="0" w:after="0"/>
              <w:jc w:val="right"/>
              <w:outlineLvl w:val="1"/>
              <w:rPr>
                <w:b w:val="0"/>
                <w:i w:val="0"/>
                <w:sz w:val="24"/>
                <w:szCs w:val="24"/>
              </w:rPr>
            </w:pPr>
            <w:r>
              <w:rPr>
                <w:b w:val="0"/>
                <w:i w:val="0"/>
                <w:sz w:val="24"/>
                <w:szCs w:val="24"/>
              </w:rPr>
              <w:t>94,59</w:t>
            </w:r>
            <w:r w:rsidR="00A90525">
              <w:rPr>
                <w:b w:val="0"/>
                <w:i w:val="0"/>
                <w:sz w:val="24"/>
                <w:szCs w:val="24"/>
              </w:rPr>
              <w:t>2</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Investment in jointly-controlled entity</w:t>
            </w:r>
          </w:p>
        </w:tc>
        <w:tc>
          <w:tcPr>
            <w:tcW w:w="1607" w:type="dxa"/>
          </w:tcPr>
          <w:p w:rsidR="00E34A43" w:rsidRPr="00E34A43" w:rsidRDefault="00E34A43" w:rsidP="00E34A43">
            <w:pPr>
              <w:jc w:val="right"/>
              <w:rPr>
                <w:sz w:val="24"/>
                <w:szCs w:val="24"/>
              </w:rPr>
            </w:pPr>
          </w:p>
          <w:p w:rsidR="00E34A43" w:rsidRPr="00E34A43" w:rsidRDefault="00E34A43" w:rsidP="00E34A43">
            <w:pPr>
              <w:jc w:val="right"/>
              <w:rPr>
                <w:sz w:val="24"/>
                <w:szCs w:val="24"/>
              </w:rPr>
            </w:pPr>
            <w:r w:rsidRPr="00E34A43">
              <w:rPr>
                <w:sz w:val="24"/>
                <w:szCs w:val="24"/>
              </w:rPr>
              <w:t>2,562</w:t>
            </w:r>
          </w:p>
        </w:tc>
        <w:tc>
          <w:tcPr>
            <w:tcW w:w="1984" w:type="dxa"/>
          </w:tcPr>
          <w:p w:rsidR="00E34A43" w:rsidRDefault="00E34A43" w:rsidP="00E34A43">
            <w:pPr>
              <w:pStyle w:val="Heading2"/>
              <w:spacing w:before="0" w:after="0"/>
              <w:jc w:val="right"/>
              <w:outlineLvl w:val="1"/>
              <w:rPr>
                <w:b w:val="0"/>
                <w:i w:val="0"/>
                <w:sz w:val="24"/>
                <w:szCs w:val="24"/>
              </w:rPr>
            </w:pPr>
          </w:p>
          <w:p w:rsidR="00E34A43" w:rsidRPr="00E34A43" w:rsidRDefault="00E34A43" w:rsidP="00E34A43">
            <w:pPr>
              <w:jc w:val="right"/>
              <w:rPr>
                <w:sz w:val="24"/>
                <w:szCs w:val="24"/>
              </w:rPr>
            </w:pPr>
            <w:r>
              <w:rPr>
                <w:sz w:val="24"/>
                <w:szCs w:val="24"/>
              </w:rPr>
              <w:t>-</w:t>
            </w:r>
          </w:p>
        </w:tc>
        <w:tc>
          <w:tcPr>
            <w:tcW w:w="1530" w:type="dxa"/>
          </w:tcPr>
          <w:p w:rsidR="00E34A43" w:rsidRPr="00E34A43" w:rsidRDefault="00E34A43" w:rsidP="00E34A43">
            <w:pPr>
              <w:pStyle w:val="Heading2"/>
              <w:spacing w:before="0" w:after="0"/>
              <w:jc w:val="right"/>
              <w:outlineLvl w:val="1"/>
              <w:rPr>
                <w:b w:val="0"/>
                <w:i w:val="0"/>
                <w:sz w:val="24"/>
                <w:szCs w:val="24"/>
              </w:rPr>
            </w:pPr>
          </w:p>
          <w:p w:rsidR="00E34A43" w:rsidRPr="00E34A43" w:rsidRDefault="00E34A43" w:rsidP="00E34A43">
            <w:pPr>
              <w:jc w:val="right"/>
              <w:rPr>
                <w:sz w:val="24"/>
                <w:szCs w:val="24"/>
              </w:rPr>
            </w:pPr>
            <w:r w:rsidRPr="00E34A43">
              <w:rPr>
                <w:sz w:val="24"/>
                <w:szCs w:val="24"/>
              </w:rPr>
              <w:t>2,562</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Investment in associates</w:t>
            </w:r>
          </w:p>
        </w:tc>
        <w:tc>
          <w:tcPr>
            <w:tcW w:w="1607" w:type="dxa"/>
          </w:tcPr>
          <w:p w:rsidR="00E34A43" w:rsidRPr="00E34A43" w:rsidRDefault="00E34A43" w:rsidP="00E34A43">
            <w:pPr>
              <w:jc w:val="right"/>
              <w:rPr>
                <w:sz w:val="24"/>
                <w:szCs w:val="24"/>
              </w:rPr>
            </w:pPr>
            <w:r>
              <w:rPr>
                <w:sz w:val="24"/>
                <w:szCs w:val="24"/>
              </w:rPr>
              <w:t>1,808</w:t>
            </w:r>
          </w:p>
        </w:tc>
        <w:tc>
          <w:tcPr>
            <w:tcW w:w="1984" w:type="dxa"/>
          </w:tcPr>
          <w:p w:rsidR="00E34A43" w:rsidRP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Pr="00E34A43" w:rsidRDefault="00E34A43" w:rsidP="00E34A43">
            <w:pPr>
              <w:pStyle w:val="Heading2"/>
              <w:spacing w:before="0" w:after="0"/>
              <w:jc w:val="right"/>
              <w:outlineLvl w:val="1"/>
              <w:rPr>
                <w:b w:val="0"/>
                <w:i w:val="0"/>
                <w:sz w:val="24"/>
                <w:szCs w:val="24"/>
              </w:rPr>
            </w:pPr>
            <w:r>
              <w:rPr>
                <w:b w:val="0"/>
                <w:i w:val="0"/>
                <w:sz w:val="24"/>
                <w:szCs w:val="24"/>
              </w:rPr>
              <w:t>1,808</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Other investment</w:t>
            </w:r>
          </w:p>
        </w:tc>
        <w:tc>
          <w:tcPr>
            <w:tcW w:w="1607" w:type="dxa"/>
          </w:tcPr>
          <w:p w:rsidR="00E34A43" w:rsidRDefault="00E34A43" w:rsidP="00E34A43">
            <w:pPr>
              <w:jc w:val="right"/>
              <w:rPr>
                <w:sz w:val="24"/>
                <w:szCs w:val="24"/>
              </w:rPr>
            </w:pPr>
            <w:r>
              <w:rPr>
                <w:sz w:val="24"/>
                <w:szCs w:val="24"/>
              </w:rPr>
              <w:t>652</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652</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Deferred tax assets</w:t>
            </w:r>
          </w:p>
        </w:tc>
        <w:tc>
          <w:tcPr>
            <w:tcW w:w="1607" w:type="dxa"/>
            <w:tcBorders>
              <w:bottom w:val="single" w:sz="4" w:space="0" w:color="auto"/>
            </w:tcBorders>
          </w:tcPr>
          <w:p w:rsidR="00E34A43" w:rsidRDefault="00E34A43" w:rsidP="00E34A43">
            <w:pPr>
              <w:jc w:val="right"/>
              <w:rPr>
                <w:sz w:val="24"/>
                <w:szCs w:val="24"/>
              </w:rPr>
            </w:pPr>
            <w:r>
              <w:rPr>
                <w:sz w:val="24"/>
                <w:szCs w:val="24"/>
              </w:rPr>
              <w:t>1,373</w:t>
            </w:r>
          </w:p>
        </w:tc>
        <w:tc>
          <w:tcPr>
            <w:tcW w:w="1984"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1,373</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E34A43" w:rsidRDefault="00E34A43" w:rsidP="00A90525">
            <w:pPr>
              <w:jc w:val="right"/>
              <w:rPr>
                <w:sz w:val="24"/>
                <w:szCs w:val="24"/>
              </w:rPr>
            </w:pPr>
            <w:r>
              <w:rPr>
                <w:sz w:val="24"/>
                <w:szCs w:val="24"/>
              </w:rPr>
              <w:t>313,5</w:t>
            </w:r>
            <w:r w:rsidR="00A90525">
              <w:rPr>
                <w:sz w:val="24"/>
                <w:szCs w:val="24"/>
              </w:rPr>
              <w:t>19</w:t>
            </w:r>
          </w:p>
        </w:tc>
        <w:tc>
          <w:tcPr>
            <w:tcW w:w="1984"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E34A43" w:rsidRDefault="00E34A43" w:rsidP="00A90525">
            <w:pPr>
              <w:pStyle w:val="Heading2"/>
              <w:spacing w:before="0" w:after="0"/>
              <w:jc w:val="right"/>
              <w:outlineLvl w:val="1"/>
              <w:rPr>
                <w:b w:val="0"/>
                <w:i w:val="0"/>
                <w:sz w:val="24"/>
                <w:szCs w:val="24"/>
              </w:rPr>
            </w:pPr>
            <w:r>
              <w:rPr>
                <w:b w:val="0"/>
                <w:i w:val="0"/>
                <w:sz w:val="24"/>
                <w:szCs w:val="24"/>
              </w:rPr>
              <w:t>313,5</w:t>
            </w:r>
            <w:r w:rsidR="00A90525">
              <w:rPr>
                <w:b w:val="0"/>
                <w:i w:val="0"/>
                <w:sz w:val="24"/>
                <w:szCs w:val="24"/>
              </w:rPr>
              <w:t>19</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p>
        </w:tc>
        <w:tc>
          <w:tcPr>
            <w:tcW w:w="1607" w:type="dxa"/>
            <w:tcBorders>
              <w:top w:val="single" w:sz="4" w:space="0" w:color="auto"/>
            </w:tcBorders>
          </w:tcPr>
          <w:p w:rsidR="00E34A43" w:rsidRDefault="00E34A43" w:rsidP="00E34A43">
            <w:pPr>
              <w:jc w:val="right"/>
              <w:rPr>
                <w:sz w:val="24"/>
                <w:szCs w:val="24"/>
              </w:rPr>
            </w:pPr>
          </w:p>
        </w:tc>
        <w:tc>
          <w:tcPr>
            <w:tcW w:w="1984"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c>
          <w:tcPr>
            <w:tcW w:w="1530"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E34A43" w:rsidRDefault="00E34A43" w:rsidP="00E61D82">
            <w:pPr>
              <w:pStyle w:val="Heading2"/>
              <w:spacing w:before="0" w:after="0"/>
              <w:jc w:val="both"/>
              <w:outlineLvl w:val="1"/>
              <w:rPr>
                <w:i w:val="0"/>
                <w:sz w:val="24"/>
                <w:szCs w:val="24"/>
              </w:rPr>
            </w:pPr>
            <w:r w:rsidRPr="00E34A43">
              <w:rPr>
                <w:i w:val="0"/>
                <w:sz w:val="24"/>
                <w:szCs w:val="24"/>
              </w:rPr>
              <w:t>Current assets</w:t>
            </w:r>
          </w:p>
        </w:tc>
        <w:tc>
          <w:tcPr>
            <w:tcW w:w="1607" w:type="dxa"/>
          </w:tcPr>
          <w:p w:rsidR="00E34A43" w:rsidRDefault="00E34A43" w:rsidP="00E34A43">
            <w:pPr>
              <w:jc w:val="right"/>
              <w:rPr>
                <w:sz w:val="24"/>
                <w:szCs w:val="24"/>
              </w:rPr>
            </w:pPr>
          </w:p>
        </w:tc>
        <w:tc>
          <w:tcPr>
            <w:tcW w:w="1984" w:type="dxa"/>
          </w:tcPr>
          <w:p w:rsidR="00E34A43" w:rsidRDefault="00E34A43" w:rsidP="00E34A43">
            <w:pPr>
              <w:pStyle w:val="Heading2"/>
              <w:spacing w:before="0" w:after="0"/>
              <w:jc w:val="right"/>
              <w:outlineLvl w:val="1"/>
              <w:rPr>
                <w:b w:val="0"/>
                <w:i w:val="0"/>
                <w:sz w:val="24"/>
                <w:szCs w:val="24"/>
              </w:rPr>
            </w:pPr>
          </w:p>
        </w:tc>
        <w:tc>
          <w:tcPr>
            <w:tcW w:w="1530" w:type="dxa"/>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E34A43" w:rsidRDefault="00E34A43" w:rsidP="00E61D82">
            <w:pPr>
              <w:pStyle w:val="Heading2"/>
              <w:spacing w:before="0" w:after="0"/>
              <w:jc w:val="both"/>
              <w:outlineLvl w:val="1"/>
              <w:rPr>
                <w:b w:val="0"/>
                <w:i w:val="0"/>
                <w:sz w:val="24"/>
                <w:szCs w:val="24"/>
              </w:rPr>
            </w:pPr>
            <w:r>
              <w:rPr>
                <w:b w:val="0"/>
                <w:i w:val="0"/>
                <w:sz w:val="24"/>
                <w:szCs w:val="24"/>
              </w:rPr>
              <w:t>Property development cost</w:t>
            </w:r>
          </w:p>
        </w:tc>
        <w:tc>
          <w:tcPr>
            <w:tcW w:w="1607" w:type="dxa"/>
          </w:tcPr>
          <w:p w:rsidR="00E34A43" w:rsidRDefault="00E34A43" w:rsidP="00E34A43">
            <w:pPr>
              <w:jc w:val="right"/>
              <w:rPr>
                <w:sz w:val="24"/>
                <w:szCs w:val="24"/>
              </w:rPr>
            </w:pPr>
            <w:r>
              <w:rPr>
                <w:sz w:val="24"/>
                <w:szCs w:val="24"/>
              </w:rPr>
              <w:t>-</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Inventories</w:t>
            </w:r>
          </w:p>
        </w:tc>
        <w:tc>
          <w:tcPr>
            <w:tcW w:w="1607" w:type="dxa"/>
          </w:tcPr>
          <w:p w:rsidR="00E34A43" w:rsidRDefault="00E34A43" w:rsidP="00E34A43">
            <w:pPr>
              <w:jc w:val="right"/>
              <w:rPr>
                <w:sz w:val="24"/>
                <w:szCs w:val="24"/>
              </w:rPr>
            </w:pPr>
            <w:r>
              <w:rPr>
                <w:sz w:val="24"/>
                <w:szCs w:val="24"/>
              </w:rPr>
              <w:t>2,828</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2,828</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Trade and other receivables</w:t>
            </w:r>
          </w:p>
        </w:tc>
        <w:tc>
          <w:tcPr>
            <w:tcW w:w="1607" w:type="dxa"/>
          </w:tcPr>
          <w:p w:rsidR="00E34A43" w:rsidRDefault="00E34A43" w:rsidP="00E34A43">
            <w:pPr>
              <w:jc w:val="right"/>
              <w:rPr>
                <w:sz w:val="24"/>
                <w:szCs w:val="24"/>
              </w:rPr>
            </w:pPr>
            <w:r>
              <w:rPr>
                <w:sz w:val="24"/>
                <w:szCs w:val="24"/>
              </w:rPr>
              <w:t>69,095</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69,095</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Other current assets</w:t>
            </w:r>
          </w:p>
        </w:tc>
        <w:tc>
          <w:tcPr>
            <w:tcW w:w="1607" w:type="dxa"/>
          </w:tcPr>
          <w:p w:rsidR="00E34A43" w:rsidRDefault="00E34A43" w:rsidP="00E34A43">
            <w:pPr>
              <w:jc w:val="right"/>
              <w:rPr>
                <w:sz w:val="24"/>
                <w:szCs w:val="24"/>
              </w:rPr>
            </w:pPr>
            <w:r>
              <w:rPr>
                <w:sz w:val="24"/>
                <w:szCs w:val="24"/>
              </w:rPr>
              <w:t>16,297</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16,297</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Cash and bank balance</w:t>
            </w:r>
          </w:p>
        </w:tc>
        <w:tc>
          <w:tcPr>
            <w:tcW w:w="1607" w:type="dxa"/>
            <w:tcBorders>
              <w:bottom w:val="single" w:sz="4" w:space="0" w:color="auto"/>
            </w:tcBorders>
          </w:tcPr>
          <w:p w:rsidR="00E34A43" w:rsidRDefault="00E34A43" w:rsidP="00E34A43">
            <w:pPr>
              <w:jc w:val="right"/>
              <w:rPr>
                <w:sz w:val="24"/>
                <w:szCs w:val="24"/>
              </w:rPr>
            </w:pPr>
            <w:r>
              <w:rPr>
                <w:sz w:val="24"/>
                <w:szCs w:val="24"/>
              </w:rPr>
              <w:t>36,667</w:t>
            </w:r>
          </w:p>
        </w:tc>
        <w:tc>
          <w:tcPr>
            <w:tcW w:w="1984"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36,667</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E34A43" w:rsidRDefault="00E34A43" w:rsidP="00E34A43">
            <w:pPr>
              <w:jc w:val="right"/>
              <w:rPr>
                <w:sz w:val="24"/>
                <w:szCs w:val="24"/>
              </w:rPr>
            </w:pPr>
            <w:r>
              <w:rPr>
                <w:sz w:val="24"/>
                <w:szCs w:val="24"/>
              </w:rPr>
              <w:t>124,887</w:t>
            </w:r>
          </w:p>
        </w:tc>
        <w:tc>
          <w:tcPr>
            <w:tcW w:w="1984"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124,887</w:t>
            </w:r>
          </w:p>
        </w:tc>
      </w:tr>
      <w:tr w:rsidR="00E34A43" w:rsidTr="002B2C6A">
        <w:tc>
          <w:tcPr>
            <w:tcW w:w="3496" w:type="dxa"/>
          </w:tcPr>
          <w:p w:rsidR="00E34A43" w:rsidRPr="00E34A43" w:rsidRDefault="00E34A43" w:rsidP="00E61D82">
            <w:pPr>
              <w:pStyle w:val="Heading2"/>
              <w:spacing w:before="0" w:after="0"/>
              <w:jc w:val="both"/>
              <w:outlineLvl w:val="1"/>
              <w:rPr>
                <w:i w:val="0"/>
                <w:sz w:val="24"/>
                <w:szCs w:val="24"/>
              </w:rPr>
            </w:pPr>
            <w:r>
              <w:rPr>
                <w:i w:val="0"/>
                <w:sz w:val="24"/>
                <w:szCs w:val="24"/>
              </w:rPr>
              <w:t>TOTAL ASSETS</w:t>
            </w:r>
          </w:p>
        </w:tc>
        <w:tc>
          <w:tcPr>
            <w:tcW w:w="1607" w:type="dxa"/>
            <w:tcBorders>
              <w:top w:val="single" w:sz="4" w:space="0" w:color="auto"/>
              <w:bottom w:val="single" w:sz="4" w:space="0" w:color="auto"/>
            </w:tcBorders>
          </w:tcPr>
          <w:p w:rsidR="00E34A43" w:rsidRDefault="00E34A43" w:rsidP="00A90525">
            <w:pPr>
              <w:jc w:val="right"/>
              <w:rPr>
                <w:sz w:val="24"/>
                <w:szCs w:val="24"/>
              </w:rPr>
            </w:pPr>
            <w:r>
              <w:rPr>
                <w:sz w:val="24"/>
                <w:szCs w:val="24"/>
              </w:rPr>
              <w:t>438,40</w:t>
            </w:r>
            <w:r w:rsidR="00A90525">
              <w:rPr>
                <w:sz w:val="24"/>
                <w:szCs w:val="24"/>
              </w:rPr>
              <w:t>6</w:t>
            </w:r>
          </w:p>
        </w:tc>
        <w:tc>
          <w:tcPr>
            <w:tcW w:w="1984"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E34A43" w:rsidRDefault="00E34A43" w:rsidP="00A90525">
            <w:pPr>
              <w:pStyle w:val="Heading2"/>
              <w:spacing w:before="0" w:after="0"/>
              <w:jc w:val="right"/>
              <w:outlineLvl w:val="1"/>
              <w:rPr>
                <w:b w:val="0"/>
                <w:i w:val="0"/>
                <w:sz w:val="24"/>
                <w:szCs w:val="24"/>
              </w:rPr>
            </w:pPr>
            <w:r>
              <w:rPr>
                <w:b w:val="0"/>
                <w:i w:val="0"/>
                <w:sz w:val="24"/>
                <w:szCs w:val="24"/>
              </w:rPr>
              <w:t>438,40</w:t>
            </w:r>
            <w:r w:rsidR="00A90525">
              <w:rPr>
                <w:b w:val="0"/>
                <w:i w:val="0"/>
                <w:sz w:val="24"/>
                <w:szCs w:val="24"/>
              </w:rPr>
              <w:t>6</w:t>
            </w:r>
          </w:p>
        </w:tc>
      </w:tr>
      <w:tr w:rsidR="00E34A43" w:rsidTr="002B2C6A">
        <w:tc>
          <w:tcPr>
            <w:tcW w:w="3496" w:type="dxa"/>
          </w:tcPr>
          <w:p w:rsidR="00E34A43" w:rsidRDefault="00E34A43" w:rsidP="00E61D82">
            <w:pPr>
              <w:pStyle w:val="Heading2"/>
              <w:spacing w:before="0" w:after="0"/>
              <w:jc w:val="both"/>
              <w:outlineLvl w:val="1"/>
              <w:rPr>
                <w:i w:val="0"/>
                <w:sz w:val="24"/>
                <w:szCs w:val="24"/>
              </w:rPr>
            </w:pPr>
          </w:p>
        </w:tc>
        <w:tc>
          <w:tcPr>
            <w:tcW w:w="1607" w:type="dxa"/>
            <w:tcBorders>
              <w:top w:val="single" w:sz="4" w:space="0" w:color="auto"/>
            </w:tcBorders>
          </w:tcPr>
          <w:p w:rsidR="00E34A43" w:rsidRDefault="00E34A43" w:rsidP="00E34A43">
            <w:pPr>
              <w:jc w:val="right"/>
              <w:rPr>
                <w:sz w:val="24"/>
                <w:szCs w:val="24"/>
              </w:rPr>
            </w:pPr>
          </w:p>
        </w:tc>
        <w:tc>
          <w:tcPr>
            <w:tcW w:w="1984"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c>
          <w:tcPr>
            <w:tcW w:w="1530"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E34A43" w:rsidRDefault="00E34A43" w:rsidP="00E61D82">
            <w:pPr>
              <w:pStyle w:val="Heading2"/>
              <w:spacing w:before="0" w:after="0"/>
              <w:jc w:val="both"/>
              <w:outlineLvl w:val="1"/>
              <w:rPr>
                <w:i w:val="0"/>
                <w:sz w:val="24"/>
                <w:szCs w:val="24"/>
              </w:rPr>
            </w:pPr>
            <w:r>
              <w:rPr>
                <w:i w:val="0"/>
                <w:sz w:val="24"/>
                <w:szCs w:val="24"/>
              </w:rPr>
              <w:t>LIABILITIES</w:t>
            </w:r>
          </w:p>
        </w:tc>
        <w:tc>
          <w:tcPr>
            <w:tcW w:w="1607" w:type="dxa"/>
          </w:tcPr>
          <w:p w:rsidR="00E34A43" w:rsidRDefault="00E34A43" w:rsidP="00E34A43">
            <w:pPr>
              <w:jc w:val="right"/>
              <w:rPr>
                <w:sz w:val="24"/>
                <w:szCs w:val="24"/>
              </w:rPr>
            </w:pPr>
          </w:p>
        </w:tc>
        <w:tc>
          <w:tcPr>
            <w:tcW w:w="1984" w:type="dxa"/>
          </w:tcPr>
          <w:p w:rsidR="00E34A43" w:rsidRDefault="00E34A43" w:rsidP="00E34A43">
            <w:pPr>
              <w:pStyle w:val="Heading2"/>
              <w:spacing w:before="0" w:after="0"/>
              <w:jc w:val="right"/>
              <w:outlineLvl w:val="1"/>
              <w:rPr>
                <w:b w:val="0"/>
                <w:i w:val="0"/>
                <w:sz w:val="24"/>
                <w:szCs w:val="24"/>
              </w:rPr>
            </w:pPr>
          </w:p>
        </w:tc>
        <w:tc>
          <w:tcPr>
            <w:tcW w:w="1530" w:type="dxa"/>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Default="00E34A43" w:rsidP="00E61D82">
            <w:pPr>
              <w:pStyle w:val="Heading2"/>
              <w:spacing w:before="0" w:after="0"/>
              <w:jc w:val="both"/>
              <w:outlineLvl w:val="1"/>
              <w:rPr>
                <w:i w:val="0"/>
                <w:sz w:val="24"/>
                <w:szCs w:val="24"/>
              </w:rPr>
            </w:pPr>
            <w:r>
              <w:rPr>
                <w:i w:val="0"/>
                <w:sz w:val="24"/>
                <w:szCs w:val="24"/>
              </w:rPr>
              <w:t>Current liabilities</w:t>
            </w:r>
          </w:p>
        </w:tc>
        <w:tc>
          <w:tcPr>
            <w:tcW w:w="1607" w:type="dxa"/>
          </w:tcPr>
          <w:p w:rsidR="00E34A43" w:rsidRDefault="00E34A43" w:rsidP="00E34A43">
            <w:pPr>
              <w:jc w:val="right"/>
              <w:rPr>
                <w:sz w:val="24"/>
                <w:szCs w:val="24"/>
              </w:rPr>
            </w:pPr>
          </w:p>
        </w:tc>
        <w:tc>
          <w:tcPr>
            <w:tcW w:w="1984" w:type="dxa"/>
          </w:tcPr>
          <w:p w:rsidR="00E34A43" w:rsidRDefault="00E34A43" w:rsidP="00E34A43">
            <w:pPr>
              <w:pStyle w:val="Heading2"/>
              <w:spacing w:before="0" w:after="0"/>
              <w:jc w:val="right"/>
              <w:outlineLvl w:val="1"/>
              <w:rPr>
                <w:b w:val="0"/>
                <w:i w:val="0"/>
                <w:sz w:val="24"/>
                <w:szCs w:val="24"/>
              </w:rPr>
            </w:pPr>
          </w:p>
        </w:tc>
        <w:tc>
          <w:tcPr>
            <w:tcW w:w="1530" w:type="dxa"/>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E34A43" w:rsidRDefault="00E34A43" w:rsidP="00E61D82">
            <w:pPr>
              <w:pStyle w:val="Heading2"/>
              <w:spacing w:before="0" w:after="0"/>
              <w:jc w:val="both"/>
              <w:outlineLvl w:val="1"/>
              <w:rPr>
                <w:b w:val="0"/>
                <w:i w:val="0"/>
                <w:sz w:val="24"/>
                <w:szCs w:val="24"/>
              </w:rPr>
            </w:pPr>
            <w:r>
              <w:rPr>
                <w:b w:val="0"/>
                <w:i w:val="0"/>
                <w:sz w:val="24"/>
                <w:szCs w:val="24"/>
              </w:rPr>
              <w:t>Loans and borrowings</w:t>
            </w:r>
          </w:p>
        </w:tc>
        <w:tc>
          <w:tcPr>
            <w:tcW w:w="1607" w:type="dxa"/>
          </w:tcPr>
          <w:p w:rsidR="00E34A43" w:rsidRDefault="00E34A43" w:rsidP="00E34A43">
            <w:pPr>
              <w:jc w:val="right"/>
              <w:rPr>
                <w:sz w:val="24"/>
                <w:szCs w:val="24"/>
              </w:rPr>
            </w:pPr>
            <w:r>
              <w:rPr>
                <w:sz w:val="24"/>
                <w:szCs w:val="24"/>
              </w:rPr>
              <w:t>39,468</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39,468</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Trade and other payables</w:t>
            </w:r>
          </w:p>
        </w:tc>
        <w:tc>
          <w:tcPr>
            <w:tcW w:w="1607" w:type="dxa"/>
          </w:tcPr>
          <w:p w:rsidR="00E34A43" w:rsidRDefault="00E34A43" w:rsidP="00A90525">
            <w:pPr>
              <w:jc w:val="right"/>
              <w:rPr>
                <w:sz w:val="24"/>
                <w:szCs w:val="24"/>
              </w:rPr>
            </w:pPr>
            <w:r>
              <w:rPr>
                <w:sz w:val="24"/>
                <w:szCs w:val="24"/>
              </w:rPr>
              <w:t>44,65</w:t>
            </w:r>
            <w:r w:rsidR="00A90525">
              <w:rPr>
                <w:sz w:val="24"/>
                <w:szCs w:val="24"/>
              </w:rPr>
              <w:t>8</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44,658</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Other current liabilities</w:t>
            </w:r>
          </w:p>
        </w:tc>
        <w:tc>
          <w:tcPr>
            <w:tcW w:w="1607" w:type="dxa"/>
          </w:tcPr>
          <w:p w:rsidR="00E34A43" w:rsidRDefault="00E34A43" w:rsidP="00E34A43">
            <w:pPr>
              <w:jc w:val="right"/>
              <w:rPr>
                <w:sz w:val="24"/>
                <w:szCs w:val="24"/>
              </w:rPr>
            </w:pPr>
            <w:r>
              <w:rPr>
                <w:sz w:val="24"/>
                <w:szCs w:val="24"/>
              </w:rPr>
              <w:t>4,949</w:t>
            </w:r>
          </w:p>
        </w:tc>
        <w:tc>
          <w:tcPr>
            <w:tcW w:w="1984" w:type="dxa"/>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E34A43" w:rsidP="00E34A43">
            <w:pPr>
              <w:pStyle w:val="Heading2"/>
              <w:spacing w:before="0" w:after="0"/>
              <w:jc w:val="right"/>
              <w:outlineLvl w:val="1"/>
              <w:rPr>
                <w:b w:val="0"/>
                <w:i w:val="0"/>
                <w:sz w:val="24"/>
                <w:szCs w:val="24"/>
              </w:rPr>
            </w:pPr>
            <w:r>
              <w:rPr>
                <w:b w:val="0"/>
                <w:i w:val="0"/>
                <w:sz w:val="24"/>
                <w:szCs w:val="24"/>
              </w:rPr>
              <w:t>4,949</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r>
              <w:rPr>
                <w:b w:val="0"/>
                <w:i w:val="0"/>
                <w:sz w:val="24"/>
                <w:szCs w:val="24"/>
              </w:rPr>
              <w:t>Tax payables</w:t>
            </w:r>
          </w:p>
        </w:tc>
        <w:tc>
          <w:tcPr>
            <w:tcW w:w="1607" w:type="dxa"/>
            <w:tcBorders>
              <w:bottom w:val="single" w:sz="4" w:space="0" w:color="auto"/>
            </w:tcBorders>
          </w:tcPr>
          <w:p w:rsidR="00E34A43" w:rsidRDefault="00E34A43" w:rsidP="00E34A43">
            <w:pPr>
              <w:jc w:val="right"/>
              <w:rPr>
                <w:sz w:val="24"/>
                <w:szCs w:val="24"/>
              </w:rPr>
            </w:pPr>
            <w:r>
              <w:rPr>
                <w:sz w:val="24"/>
                <w:szCs w:val="24"/>
              </w:rPr>
              <w:t>1,424</w:t>
            </w:r>
          </w:p>
        </w:tc>
        <w:tc>
          <w:tcPr>
            <w:tcW w:w="1984"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1,424</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E34A43" w:rsidRDefault="00E34A43" w:rsidP="00A90525">
            <w:pPr>
              <w:jc w:val="right"/>
              <w:rPr>
                <w:sz w:val="24"/>
                <w:szCs w:val="24"/>
              </w:rPr>
            </w:pPr>
            <w:r>
              <w:rPr>
                <w:sz w:val="24"/>
                <w:szCs w:val="24"/>
              </w:rPr>
              <w:t>90,49</w:t>
            </w:r>
            <w:r w:rsidR="00A90525">
              <w:rPr>
                <w:sz w:val="24"/>
                <w:szCs w:val="24"/>
              </w:rPr>
              <w:t>9</w:t>
            </w:r>
          </w:p>
        </w:tc>
        <w:tc>
          <w:tcPr>
            <w:tcW w:w="1984"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E34A43" w:rsidRDefault="00E34A43" w:rsidP="00E34A43">
            <w:pPr>
              <w:pStyle w:val="Heading2"/>
              <w:spacing w:before="0" w:after="0"/>
              <w:jc w:val="right"/>
              <w:outlineLvl w:val="1"/>
              <w:rPr>
                <w:b w:val="0"/>
                <w:i w:val="0"/>
                <w:sz w:val="24"/>
                <w:szCs w:val="24"/>
              </w:rPr>
            </w:pPr>
            <w:r>
              <w:rPr>
                <w:b w:val="0"/>
                <w:i w:val="0"/>
                <w:sz w:val="24"/>
                <w:szCs w:val="24"/>
              </w:rPr>
              <w:t>90,499</w:t>
            </w:r>
          </w:p>
        </w:tc>
      </w:tr>
      <w:tr w:rsidR="00E34A43" w:rsidTr="002B2C6A">
        <w:tc>
          <w:tcPr>
            <w:tcW w:w="3496" w:type="dxa"/>
          </w:tcPr>
          <w:p w:rsidR="00E34A43" w:rsidRDefault="00E34A43" w:rsidP="00E61D82">
            <w:pPr>
              <w:pStyle w:val="Heading2"/>
              <w:spacing w:before="0" w:after="0"/>
              <w:jc w:val="both"/>
              <w:outlineLvl w:val="1"/>
              <w:rPr>
                <w:b w:val="0"/>
                <w:i w:val="0"/>
                <w:sz w:val="24"/>
                <w:szCs w:val="24"/>
              </w:rPr>
            </w:pPr>
          </w:p>
        </w:tc>
        <w:tc>
          <w:tcPr>
            <w:tcW w:w="1607" w:type="dxa"/>
            <w:tcBorders>
              <w:top w:val="single" w:sz="4" w:space="0" w:color="auto"/>
            </w:tcBorders>
          </w:tcPr>
          <w:p w:rsidR="00E34A43" w:rsidRDefault="00E34A43" w:rsidP="00E34A43">
            <w:pPr>
              <w:jc w:val="right"/>
              <w:rPr>
                <w:sz w:val="24"/>
                <w:szCs w:val="24"/>
              </w:rPr>
            </w:pPr>
          </w:p>
        </w:tc>
        <w:tc>
          <w:tcPr>
            <w:tcW w:w="1984"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c>
          <w:tcPr>
            <w:tcW w:w="1530"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E34A43" w:rsidRDefault="00E34A43" w:rsidP="00E61D82">
            <w:pPr>
              <w:pStyle w:val="Heading2"/>
              <w:spacing w:before="0" w:after="0"/>
              <w:jc w:val="both"/>
              <w:outlineLvl w:val="1"/>
              <w:rPr>
                <w:i w:val="0"/>
                <w:sz w:val="24"/>
                <w:szCs w:val="24"/>
              </w:rPr>
            </w:pPr>
            <w:r>
              <w:rPr>
                <w:i w:val="0"/>
                <w:sz w:val="24"/>
                <w:szCs w:val="24"/>
              </w:rPr>
              <w:t>Non-current liabilities</w:t>
            </w:r>
          </w:p>
        </w:tc>
        <w:tc>
          <w:tcPr>
            <w:tcW w:w="1607" w:type="dxa"/>
          </w:tcPr>
          <w:p w:rsidR="00E34A43" w:rsidRDefault="00E34A43" w:rsidP="00E34A43">
            <w:pPr>
              <w:jc w:val="right"/>
              <w:rPr>
                <w:sz w:val="24"/>
                <w:szCs w:val="24"/>
              </w:rPr>
            </w:pPr>
          </w:p>
        </w:tc>
        <w:tc>
          <w:tcPr>
            <w:tcW w:w="1984" w:type="dxa"/>
          </w:tcPr>
          <w:p w:rsidR="00E34A43" w:rsidRDefault="00E34A43" w:rsidP="00E34A43">
            <w:pPr>
              <w:pStyle w:val="Heading2"/>
              <w:spacing w:before="0" w:after="0"/>
              <w:jc w:val="right"/>
              <w:outlineLvl w:val="1"/>
              <w:rPr>
                <w:b w:val="0"/>
                <w:i w:val="0"/>
                <w:sz w:val="24"/>
                <w:szCs w:val="24"/>
              </w:rPr>
            </w:pPr>
          </w:p>
        </w:tc>
        <w:tc>
          <w:tcPr>
            <w:tcW w:w="1530" w:type="dxa"/>
          </w:tcPr>
          <w:p w:rsidR="00E34A43" w:rsidRDefault="00E34A43" w:rsidP="00E34A43">
            <w:pPr>
              <w:pStyle w:val="Heading2"/>
              <w:spacing w:before="0" w:after="0"/>
              <w:jc w:val="right"/>
              <w:outlineLvl w:val="1"/>
              <w:rPr>
                <w:b w:val="0"/>
                <w:i w:val="0"/>
                <w:sz w:val="24"/>
                <w:szCs w:val="24"/>
              </w:rPr>
            </w:pPr>
          </w:p>
        </w:tc>
      </w:tr>
      <w:tr w:rsidR="00E34A43" w:rsidTr="002B2C6A">
        <w:tc>
          <w:tcPr>
            <w:tcW w:w="3496" w:type="dxa"/>
          </w:tcPr>
          <w:p w:rsidR="00E34A43" w:rsidRPr="002B2C6A" w:rsidRDefault="002B2C6A" w:rsidP="00E61D82">
            <w:pPr>
              <w:pStyle w:val="Heading2"/>
              <w:spacing w:before="0" w:after="0"/>
              <w:jc w:val="both"/>
              <w:outlineLvl w:val="1"/>
              <w:rPr>
                <w:b w:val="0"/>
                <w:i w:val="0"/>
                <w:sz w:val="24"/>
                <w:szCs w:val="24"/>
              </w:rPr>
            </w:pPr>
            <w:r>
              <w:rPr>
                <w:b w:val="0"/>
                <w:i w:val="0"/>
                <w:sz w:val="24"/>
                <w:szCs w:val="24"/>
              </w:rPr>
              <w:t>Deferred tax liabilities</w:t>
            </w:r>
          </w:p>
        </w:tc>
        <w:tc>
          <w:tcPr>
            <w:tcW w:w="1607" w:type="dxa"/>
          </w:tcPr>
          <w:p w:rsidR="00E34A43" w:rsidRDefault="002B2C6A" w:rsidP="0092697C">
            <w:pPr>
              <w:jc w:val="right"/>
              <w:rPr>
                <w:sz w:val="24"/>
                <w:szCs w:val="24"/>
              </w:rPr>
            </w:pPr>
            <w:r>
              <w:rPr>
                <w:sz w:val="24"/>
                <w:szCs w:val="24"/>
              </w:rPr>
              <w:t>7,6</w:t>
            </w:r>
            <w:r w:rsidR="0092697C">
              <w:rPr>
                <w:sz w:val="24"/>
                <w:szCs w:val="24"/>
              </w:rPr>
              <w:t>08</w:t>
            </w:r>
          </w:p>
        </w:tc>
        <w:tc>
          <w:tcPr>
            <w:tcW w:w="1984" w:type="dxa"/>
          </w:tcPr>
          <w:p w:rsidR="00E34A43" w:rsidRDefault="002B2C6A" w:rsidP="00E34A43">
            <w:pPr>
              <w:pStyle w:val="Heading2"/>
              <w:spacing w:before="0" w:after="0"/>
              <w:jc w:val="right"/>
              <w:outlineLvl w:val="1"/>
              <w:rPr>
                <w:b w:val="0"/>
                <w:i w:val="0"/>
                <w:sz w:val="24"/>
                <w:szCs w:val="24"/>
              </w:rPr>
            </w:pPr>
            <w:r>
              <w:rPr>
                <w:b w:val="0"/>
                <w:i w:val="0"/>
                <w:sz w:val="24"/>
                <w:szCs w:val="24"/>
              </w:rPr>
              <w:t>-</w:t>
            </w:r>
          </w:p>
        </w:tc>
        <w:tc>
          <w:tcPr>
            <w:tcW w:w="1530" w:type="dxa"/>
          </w:tcPr>
          <w:p w:rsidR="00E34A43" w:rsidRDefault="002B2C6A" w:rsidP="0092697C">
            <w:pPr>
              <w:pStyle w:val="Heading2"/>
              <w:spacing w:before="0" w:after="0"/>
              <w:jc w:val="right"/>
              <w:outlineLvl w:val="1"/>
              <w:rPr>
                <w:b w:val="0"/>
                <w:i w:val="0"/>
                <w:sz w:val="24"/>
                <w:szCs w:val="24"/>
              </w:rPr>
            </w:pPr>
            <w:r>
              <w:rPr>
                <w:b w:val="0"/>
                <w:i w:val="0"/>
                <w:sz w:val="24"/>
                <w:szCs w:val="24"/>
              </w:rPr>
              <w:t>7,6</w:t>
            </w:r>
            <w:r w:rsidR="0092697C">
              <w:rPr>
                <w:b w:val="0"/>
                <w:i w:val="0"/>
                <w:sz w:val="24"/>
                <w:szCs w:val="24"/>
              </w:rPr>
              <w:t>08</w:t>
            </w:r>
          </w:p>
        </w:tc>
      </w:tr>
      <w:tr w:rsidR="002B2C6A" w:rsidTr="002B2C6A">
        <w:tc>
          <w:tcPr>
            <w:tcW w:w="3496" w:type="dxa"/>
          </w:tcPr>
          <w:p w:rsidR="002B2C6A" w:rsidRDefault="002B2C6A" w:rsidP="00E61D82">
            <w:pPr>
              <w:pStyle w:val="Heading2"/>
              <w:spacing w:before="0" w:after="0"/>
              <w:jc w:val="both"/>
              <w:outlineLvl w:val="1"/>
              <w:rPr>
                <w:b w:val="0"/>
                <w:i w:val="0"/>
                <w:sz w:val="24"/>
                <w:szCs w:val="24"/>
              </w:rPr>
            </w:pPr>
            <w:r>
              <w:rPr>
                <w:b w:val="0"/>
                <w:i w:val="0"/>
                <w:sz w:val="24"/>
                <w:szCs w:val="24"/>
              </w:rPr>
              <w:t>Loans and borrowings</w:t>
            </w:r>
          </w:p>
        </w:tc>
        <w:tc>
          <w:tcPr>
            <w:tcW w:w="1607" w:type="dxa"/>
            <w:tcBorders>
              <w:bottom w:val="single" w:sz="4" w:space="0" w:color="auto"/>
            </w:tcBorders>
          </w:tcPr>
          <w:p w:rsidR="002B2C6A" w:rsidRDefault="002B2C6A" w:rsidP="00E34A43">
            <w:pPr>
              <w:jc w:val="right"/>
              <w:rPr>
                <w:sz w:val="24"/>
                <w:szCs w:val="24"/>
              </w:rPr>
            </w:pPr>
            <w:r>
              <w:rPr>
                <w:sz w:val="24"/>
                <w:szCs w:val="24"/>
              </w:rPr>
              <w:t>86,529</w:t>
            </w:r>
          </w:p>
        </w:tc>
        <w:tc>
          <w:tcPr>
            <w:tcW w:w="1984" w:type="dxa"/>
            <w:tcBorders>
              <w:bottom w:val="single" w:sz="4" w:space="0" w:color="auto"/>
            </w:tcBorders>
          </w:tcPr>
          <w:p w:rsidR="002B2C6A" w:rsidRDefault="002B2C6A" w:rsidP="00E34A4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2B2C6A" w:rsidRDefault="002B2C6A" w:rsidP="00E34A43">
            <w:pPr>
              <w:pStyle w:val="Heading2"/>
              <w:spacing w:before="0" w:after="0"/>
              <w:jc w:val="right"/>
              <w:outlineLvl w:val="1"/>
              <w:rPr>
                <w:b w:val="0"/>
                <w:i w:val="0"/>
                <w:sz w:val="24"/>
                <w:szCs w:val="24"/>
              </w:rPr>
            </w:pPr>
            <w:r>
              <w:rPr>
                <w:b w:val="0"/>
                <w:i w:val="0"/>
                <w:sz w:val="24"/>
                <w:szCs w:val="24"/>
              </w:rPr>
              <w:t>86,529</w:t>
            </w:r>
          </w:p>
        </w:tc>
      </w:tr>
      <w:tr w:rsidR="002B2C6A" w:rsidTr="002B2C6A">
        <w:tc>
          <w:tcPr>
            <w:tcW w:w="3496" w:type="dxa"/>
          </w:tcPr>
          <w:p w:rsidR="002B2C6A" w:rsidRPr="002B2C6A" w:rsidRDefault="002B2C6A" w:rsidP="00E61D82">
            <w:pPr>
              <w:pStyle w:val="Heading2"/>
              <w:spacing w:before="0" w:after="0"/>
              <w:jc w:val="both"/>
              <w:outlineLvl w:val="1"/>
              <w:rPr>
                <w:i w:val="0"/>
                <w:sz w:val="24"/>
                <w:szCs w:val="24"/>
              </w:rPr>
            </w:pPr>
          </w:p>
        </w:tc>
        <w:tc>
          <w:tcPr>
            <w:tcW w:w="1607" w:type="dxa"/>
            <w:tcBorders>
              <w:top w:val="single" w:sz="4" w:space="0" w:color="auto"/>
              <w:bottom w:val="single" w:sz="4" w:space="0" w:color="auto"/>
            </w:tcBorders>
          </w:tcPr>
          <w:p w:rsidR="002B2C6A" w:rsidRDefault="002B2C6A" w:rsidP="0092697C">
            <w:pPr>
              <w:jc w:val="right"/>
              <w:rPr>
                <w:sz w:val="24"/>
                <w:szCs w:val="24"/>
              </w:rPr>
            </w:pPr>
            <w:r>
              <w:rPr>
                <w:sz w:val="24"/>
                <w:szCs w:val="24"/>
              </w:rPr>
              <w:t>94,13</w:t>
            </w:r>
            <w:r w:rsidR="0092697C">
              <w:rPr>
                <w:sz w:val="24"/>
                <w:szCs w:val="24"/>
              </w:rPr>
              <w:t>7</w:t>
            </w:r>
          </w:p>
        </w:tc>
        <w:tc>
          <w:tcPr>
            <w:tcW w:w="1984" w:type="dxa"/>
            <w:tcBorders>
              <w:top w:val="single" w:sz="4" w:space="0" w:color="auto"/>
              <w:bottom w:val="single" w:sz="4" w:space="0" w:color="auto"/>
            </w:tcBorders>
          </w:tcPr>
          <w:p w:rsidR="002B2C6A" w:rsidRDefault="002B2C6A"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2B2C6A" w:rsidRDefault="002B2C6A" w:rsidP="0092697C">
            <w:pPr>
              <w:pStyle w:val="Heading2"/>
              <w:spacing w:before="0" w:after="0"/>
              <w:jc w:val="right"/>
              <w:outlineLvl w:val="1"/>
              <w:rPr>
                <w:b w:val="0"/>
                <w:i w:val="0"/>
                <w:sz w:val="24"/>
                <w:szCs w:val="24"/>
              </w:rPr>
            </w:pPr>
            <w:r>
              <w:rPr>
                <w:b w:val="0"/>
                <w:i w:val="0"/>
                <w:sz w:val="24"/>
                <w:szCs w:val="24"/>
              </w:rPr>
              <w:t>94,13</w:t>
            </w:r>
            <w:r w:rsidR="0092697C">
              <w:rPr>
                <w:b w:val="0"/>
                <w:i w:val="0"/>
                <w:sz w:val="24"/>
                <w:szCs w:val="24"/>
              </w:rPr>
              <w:t>7</w:t>
            </w:r>
          </w:p>
        </w:tc>
      </w:tr>
      <w:tr w:rsidR="002B2C6A" w:rsidTr="002B2C6A">
        <w:tc>
          <w:tcPr>
            <w:tcW w:w="3496" w:type="dxa"/>
          </w:tcPr>
          <w:p w:rsidR="002B2C6A" w:rsidRPr="002B2C6A" w:rsidRDefault="002B2C6A" w:rsidP="00E61D82">
            <w:pPr>
              <w:pStyle w:val="Heading2"/>
              <w:spacing w:before="0" w:after="0"/>
              <w:jc w:val="both"/>
              <w:outlineLvl w:val="1"/>
              <w:rPr>
                <w:i w:val="0"/>
                <w:sz w:val="24"/>
                <w:szCs w:val="24"/>
              </w:rPr>
            </w:pPr>
            <w:r>
              <w:rPr>
                <w:i w:val="0"/>
                <w:sz w:val="24"/>
                <w:szCs w:val="24"/>
              </w:rPr>
              <w:t>TOTAL LIABILITIES</w:t>
            </w:r>
          </w:p>
        </w:tc>
        <w:tc>
          <w:tcPr>
            <w:tcW w:w="1607" w:type="dxa"/>
            <w:tcBorders>
              <w:top w:val="single" w:sz="4" w:space="0" w:color="auto"/>
              <w:bottom w:val="single" w:sz="4" w:space="0" w:color="auto"/>
            </w:tcBorders>
          </w:tcPr>
          <w:p w:rsidR="002B2C6A" w:rsidRDefault="002B2C6A" w:rsidP="0092697C">
            <w:pPr>
              <w:jc w:val="right"/>
              <w:rPr>
                <w:sz w:val="24"/>
                <w:szCs w:val="24"/>
              </w:rPr>
            </w:pPr>
            <w:r>
              <w:rPr>
                <w:sz w:val="24"/>
                <w:szCs w:val="24"/>
              </w:rPr>
              <w:t>184,63</w:t>
            </w:r>
            <w:r w:rsidR="0092697C">
              <w:rPr>
                <w:sz w:val="24"/>
                <w:szCs w:val="24"/>
              </w:rPr>
              <w:t>6</w:t>
            </w:r>
          </w:p>
        </w:tc>
        <w:tc>
          <w:tcPr>
            <w:tcW w:w="1984" w:type="dxa"/>
            <w:tcBorders>
              <w:top w:val="single" w:sz="4" w:space="0" w:color="auto"/>
              <w:bottom w:val="single" w:sz="4" w:space="0" w:color="auto"/>
            </w:tcBorders>
          </w:tcPr>
          <w:p w:rsidR="002B2C6A" w:rsidRDefault="002B2C6A"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2B2C6A" w:rsidRDefault="002B2C6A" w:rsidP="0092697C">
            <w:pPr>
              <w:pStyle w:val="Heading2"/>
              <w:spacing w:before="0" w:after="0"/>
              <w:jc w:val="right"/>
              <w:outlineLvl w:val="1"/>
              <w:rPr>
                <w:b w:val="0"/>
                <w:i w:val="0"/>
                <w:sz w:val="24"/>
                <w:szCs w:val="24"/>
              </w:rPr>
            </w:pPr>
            <w:r>
              <w:rPr>
                <w:b w:val="0"/>
                <w:i w:val="0"/>
                <w:sz w:val="24"/>
                <w:szCs w:val="24"/>
              </w:rPr>
              <w:t>184,63</w:t>
            </w:r>
            <w:r w:rsidR="0092697C">
              <w:rPr>
                <w:b w:val="0"/>
                <w:i w:val="0"/>
                <w:sz w:val="24"/>
                <w:szCs w:val="24"/>
              </w:rPr>
              <w:t>6</w:t>
            </w:r>
          </w:p>
        </w:tc>
      </w:tr>
      <w:tr w:rsidR="002B2C6A" w:rsidTr="002B2C6A">
        <w:tc>
          <w:tcPr>
            <w:tcW w:w="3496" w:type="dxa"/>
          </w:tcPr>
          <w:p w:rsidR="002B2C6A" w:rsidRDefault="002B2C6A" w:rsidP="00E61D82">
            <w:pPr>
              <w:pStyle w:val="Heading2"/>
              <w:spacing w:before="0" w:after="0"/>
              <w:jc w:val="both"/>
              <w:outlineLvl w:val="1"/>
              <w:rPr>
                <w:i w:val="0"/>
                <w:sz w:val="24"/>
                <w:szCs w:val="24"/>
              </w:rPr>
            </w:pPr>
            <w:r>
              <w:rPr>
                <w:i w:val="0"/>
                <w:sz w:val="24"/>
                <w:szCs w:val="24"/>
              </w:rPr>
              <w:t>NET ASSETS</w:t>
            </w:r>
          </w:p>
        </w:tc>
        <w:tc>
          <w:tcPr>
            <w:tcW w:w="1607" w:type="dxa"/>
            <w:tcBorders>
              <w:top w:val="single" w:sz="4" w:space="0" w:color="auto"/>
              <w:bottom w:val="single" w:sz="4" w:space="0" w:color="auto"/>
            </w:tcBorders>
          </w:tcPr>
          <w:p w:rsidR="002B2C6A" w:rsidRDefault="002B2C6A" w:rsidP="0092697C">
            <w:pPr>
              <w:jc w:val="right"/>
              <w:rPr>
                <w:sz w:val="24"/>
                <w:szCs w:val="24"/>
              </w:rPr>
            </w:pPr>
            <w:r>
              <w:rPr>
                <w:sz w:val="24"/>
                <w:szCs w:val="24"/>
              </w:rPr>
              <w:t>253,7</w:t>
            </w:r>
            <w:r w:rsidR="0092697C">
              <w:rPr>
                <w:sz w:val="24"/>
                <w:szCs w:val="24"/>
              </w:rPr>
              <w:t>70</w:t>
            </w:r>
          </w:p>
        </w:tc>
        <w:tc>
          <w:tcPr>
            <w:tcW w:w="1984" w:type="dxa"/>
            <w:tcBorders>
              <w:top w:val="single" w:sz="4" w:space="0" w:color="auto"/>
              <w:bottom w:val="single" w:sz="4" w:space="0" w:color="auto"/>
            </w:tcBorders>
          </w:tcPr>
          <w:p w:rsidR="002B2C6A" w:rsidRDefault="002B2C6A" w:rsidP="00E34A4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2B2C6A" w:rsidRDefault="002B2C6A" w:rsidP="0092697C">
            <w:pPr>
              <w:pStyle w:val="Heading2"/>
              <w:spacing w:before="0" w:after="0"/>
              <w:jc w:val="right"/>
              <w:outlineLvl w:val="1"/>
              <w:rPr>
                <w:b w:val="0"/>
                <w:i w:val="0"/>
                <w:sz w:val="24"/>
                <w:szCs w:val="24"/>
              </w:rPr>
            </w:pPr>
            <w:r>
              <w:rPr>
                <w:b w:val="0"/>
                <w:i w:val="0"/>
                <w:sz w:val="24"/>
                <w:szCs w:val="24"/>
              </w:rPr>
              <w:t>253,7</w:t>
            </w:r>
            <w:r w:rsidR="0092697C">
              <w:rPr>
                <w:b w:val="0"/>
                <w:i w:val="0"/>
                <w:sz w:val="24"/>
                <w:szCs w:val="24"/>
              </w:rPr>
              <w:t>70</w:t>
            </w:r>
          </w:p>
        </w:tc>
      </w:tr>
      <w:tr w:rsidR="002B2C6A" w:rsidTr="002B2C6A">
        <w:tc>
          <w:tcPr>
            <w:tcW w:w="3496" w:type="dxa"/>
          </w:tcPr>
          <w:p w:rsidR="002B2C6A" w:rsidRDefault="002B2C6A" w:rsidP="00E61D82">
            <w:pPr>
              <w:pStyle w:val="Heading2"/>
              <w:spacing w:before="0" w:after="0"/>
              <w:jc w:val="both"/>
              <w:outlineLvl w:val="1"/>
              <w:rPr>
                <w:i w:val="0"/>
                <w:sz w:val="24"/>
                <w:szCs w:val="24"/>
              </w:rPr>
            </w:pPr>
          </w:p>
        </w:tc>
        <w:tc>
          <w:tcPr>
            <w:tcW w:w="1607" w:type="dxa"/>
            <w:tcBorders>
              <w:top w:val="single" w:sz="4" w:space="0" w:color="auto"/>
            </w:tcBorders>
          </w:tcPr>
          <w:p w:rsidR="002B2C6A" w:rsidRDefault="002B2C6A" w:rsidP="00E34A43">
            <w:pPr>
              <w:jc w:val="right"/>
              <w:rPr>
                <w:sz w:val="24"/>
                <w:szCs w:val="24"/>
              </w:rPr>
            </w:pPr>
          </w:p>
        </w:tc>
        <w:tc>
          <w:tcPr>
            <w:tcW w:w="1984" w:type="dxa"/>
            <w:tcBorders>
              <w:top w:val="single" w:sz="4" w:space="0" w:color="auto"/>
            </w:tcBorders>
          </w:tcPr>
          <w:p w:rsidR="002B2C6A" w:rsidRDefault="002B2C6A" w:rsidP="00E34A43">
            <w:pPr>
              <w:pStyle w:val="Heading2"/>
              <w:spacing w:before="0" w:after="0"/>
              <w:jc w:val="right"/>
              <w:outlineLvl w:val="1"/>
              <w:rPr>
                <w:b w:val="0"/>
                <w:i w:val="0"/>
                <w:sz w:val="24"/>
                <w:szCs w:val="24"/>
              </w:rPr>
            </w:pPr>
          </w:p>
        </w:tc>
        <w:tc>
          <w:tcPr>
            <w:tcW w:w="1530" w:type="dxa"/>
            <w:tcBorders>
              <w:top w:val="single" w:sz="4" w:space="0" w:color="auto"/>
            </w:tcBorders>
          </w:tcPr>
          <w:p w:rsidR="002B2C6A" w:rsidRDefault="002B2C6A" w:rsidP="002B2C6A">
            <w:pPr>
              <w:pStyle w:val="Heading2"/>
              <w:spacing w:before="0" w:after="0"/>
              <w:jc w:val="right"/>
              <w:outlineLvl w:val="1"/>
              <w:rPr>
                <w:b w:val="0"/>
                <w:i w:val="0"/>
                <w:sz w:val="24"/>
                <w:szCs w:val="24"/>
              </w:rPr>
            </w:pPr>
          </w:p>
        </w:tc>
      </w:tr>
    </w:tbl>
    <w:p w:rsidR="00E61D82" w:rsidRPr="00E61D82" w:rsidRDefault="00E61D82" w:rsidP="00E61D82">
      <w:pPr>
        <w:pStyle w:val="Heading2"/>
        <w:spacing w:before="0" w:after="0"/>
        <w:jc w:val="both"/>
        <w:rPr>
          <w:b w:val="0"/>
          <w:i w:val="0"/>
          <w:sz w:val="24"/>
          <w:szCs w:val="24"/>
        </w:rPr>
      </w:pPr>
    </w:p>
    <w:p w:rsidR="002B2C6A" w:rsidRDefault="002B2C6A">
      <w:pPr>
        <w:overflowPunct/>
        <w:autoSpaceDE/>
        <w:autoSpaceDN/>
        <w:adjustRightInd/>
        <w:textAlignment w:val="auto"/>
        <w:rPr>
          <w:sz w:val="24"/>
          <w:szCs w:val="24"/>
        </w:rPr>
      </w:pPr>
      <w:r>
        <w:rPr>
          <w:b/>
          <w:i/>
          <w:sz w:val="24"/>
          <w:szCs w:val="24"/>
        </w:rPr>
        <w:br w:type="page"/>
      </w:r>
    </w:p>
    <w:p w:rsidR="002B2C6A" w:rsidRPr="00C425EA" w:rsidRDefault="002B2C6A" w:rsidP="002B2C6A">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r>
        <w:rPr>
          <w:rFonts w:ascii="Times New Roman" w:hAnsi="Times New Roman"/>
          <w:b/>
          <w:i/>
          <w:sz w:val="24"/>
          <w:szCs w:val="24"/>
        </w:rPr>
        <w:t xml:space="preserve"> (Cont’d)</w:t>
      </w:r>
    </w:p>
    <w:p w:rsidR="002B2C6A" w:rsidRPr="004947D3" w:rsidRDefault="002B2C6A" w:rsidP="0001430D">
      <w:pPr>
        <w:pStyle w:val="BodyText2"/>
        <w:numPr>
          <w:ilvl w:val="0"/>
          <w:numId w:val="35"/>
        </w:numPr>
        <w:spacing w:before="90" w:line="260" w:lineRule="exact"/>
        <w:rPr>
          <w:rFonts w:ascii="Times New Roman" w:hAnsi="Times New Roman"/>
          <w:b/>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1 July 2011</w:t>
      </w:r>
    </w:p>
    <w:p w:rsidR="002B2C6A" w:rsidRDefault="002B2C6A" w:rsidP="002B2C6A">
      <w:pPr>
        <w:pStyle w:val="BodyText2"/>
        <w:spacing w:before="90" w:line="260" w:lineRule="exact"/>
        <w:ind w:left="70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2B2C6A" w:rsidTr="002B2C6A">
        <w:tc>
          <w:tcPr>
            <w:tcW w:w="3496" w:type="dxa"/>
          </w:tcPr>
          <w:p w:rsidR="002B2C6A" w:rsidRDefault="002B2C6A" w:rsidP="002B2C6A">
            <w:pPr>
              <w:pStyle w:val="Heading2"/>
              <w:spacing w:before="0" w:after="0"/>
              <w:jc w:val="both"/>
              <w:outlineLvl w:val="1"/>
              <w:rPr>
                <w:b w:val="0"/>
                <w:i w:val="0"/>
                <w:sz w:val="24"/>
                <w:szCs w:val="24"/>
              </w:rPr>
            </w:pPr>
          </w:p>
        </w:tc>
        <w:tc>
          <w:tcPr>
            <w:tcW w:w="1607" w:type="dxa"/>
          </w:tcPr>
          <w:p w:rsidR="002B2C6A" w:rsidRDefault="002B2C6A" w:rsidP="002B2C6A">
            <w:pPr>
              <w:pStyle w:val="Heading2"/>
              <w:spacing w:before="0" w:after="0"/>
              <w:jc w:val="right"/>
              <w:outlineLvl w:val="1"/>
              <w:rPr>
                <w:b w:val="0"/>
                <w:i w:val="0"/>
                <w:sz w:val="24"/>
                <w:szCs w:val="24"/>
              </w:rPr>
            </w:pPr>
            <w:r>
              <w:rPr>
                <w:b w:val="0"/>
                <w:i w:val="0"/>
                <w:sz w:val="24"/>
                <w:szCs w:val="24"/>
              </w:rPr>
              <w:t>Under FRS Framework</w:t>
            </w:r>
          </w:p>
        </w:tc>
        <w:tc>
          <w:tcPr>
            <w:tcW w:w="1984" w:type="dxa"/>
          </w:tcPr>
          <w:p w:rsidR="002B2C6A" w:rsidRDefault="002B2C6A" w:rsidP="002B2C6A">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2B2C6A" w:rsidRDefault="002B2C6A" w:rsidP="002B2C6A">
            <w:pPr>
              <w:pStyle w:val="Heading2"/>
              <w:spacing w:before="0" w:after="0"/>
              <w:jc w:val="right"/>
              <w:outlineLvl w:val="1"/>
              <w:rPr>
                <w:b w:val="0"/>
                <w:i w:val="0"/>
                <w:sz w:val="24"/>
                <w:szCs w:val="24"/>
              </w:rPr>
            </w:pPr>
            <w:r>
              <w:rPr>
                <w:b w:val="0"/>
                <w:i w:val="0"/>
                <w:sz w:val="24"/>
                <w:szCs w:val="24"/>
              </w:rPr>
              <w:t>Under MFRS Framework</w:t>
            </w:r>
          </w:p>
        </w:tc>
      </w:tr>
      <w:tr w:rsidR="002B2C6A" w:rsidRPr="002B2C6A" w:rsidTr="002B2C6A">
        <w:tc>
          <w:tcPr>
            <w:tcW w:w="3496" w:type="dxa"/>
            <w:shd w:val="clear" w:color="auto" w:fill="D9D9D9" w:themeFill="background1" w:themeFillShade="D9"/>
          </w:tcPr>
          <w:p w:rsidR="002B2C6A" w:rsidRPr="002B2C6A" w:rsidRDefault="002B2C6A" w:rsidP="002B2C6A">
            <w:pPr>
              <w:pStyle w:val="Heading2"/>
              <w:spacing w:before="0" w:after="0"/>
              <w:jc w:val="both"/>
              <w:outlineLvl w:val="1"/>
              <w:rPr>
                <w:i w:val="0"/>
                <w:sz w:val="24"/>
                <w:szCs w:val="24"/>
              </w:rPr>
            </w:pPr>
            <w:r>
              <w:rPr>
                <w:i w:val="0"/>
                <w:sz w:val="24"/>
                <w:szCs w:val="24"/>
              </w:rPr>
              <w:t>Equity</w:t>
            </w:r>
          </w:p>
        </w:tc>
        <w:tc>
          <w:tcPr>
            <w:tcW w:w="1607" w:type="dxa"/>
            <w:shd w:val="clear" w:color="auto" w:fill="D9D9D9" w:themeFill="background1" w:themeFillShade="D9"/>
          </w:tcPr>
          <w:p w:rsidR="002B2C6A" w:rsidRPr="002B2C6A" w:rsidRDefault="002B2C6A" w:rsidP="002B2C6A">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2B2C6A" w:rsidRPr="002B2C6A" w:rsidRDefault="002B2C6A" w:rsidP="002B2C6A">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2B2C6A" w:rsidRPr="002B2C6A" w:rsidRDefault="002B2C6A" w:rsidP="002B2C6A">
            <w:pPr>
              <w:pStyle w:val="Heading2"/>
              <w:spacing w:before="0" w:after="0"/>
              <w:jc w:val="right"/>
              <w:outlineLvl w:val="1"/>
              <w:rPr>
                <w:i w:val="0"/>
                <w:sz w:val="24"/>
                <w:szCs w:val="24"/>
              </w:rPr>
            </w:pPr>
            <w:r w:rsidRPr="002B2C6A">
              <w:rPr>
                <w:i w:val="0"/>
                <w:sz w:val="24"/>
                <w:szCs w:val="24"/>
              </w:rPr>
              <w:t>RM’000</w:t>
            </w:r>
          </w:p>
        </w:tc>
      </w:tr>
      <w:tr w:rsidR="002B2C6A" w:rsidRPr="002B2C6A" w:rsidTr="002B2C6A">
        <w:tc>
          <w:tcPr>
            <w:tcW w:w="3496" w:type="dxa"/>
            <w:shd w:val="clear" w:color="auto" w:fill="auto"/>
          </w:tcPr>
          <w:p w:rsidR="002B2C6A" w:rsidRPr="002B2C6A" w:rsidRDefault="002B2C6A" w:rsidP="002B2C6A">
            <w:pPr>
              <w:pStyle w:val="Heading2"/>
              <w:spacing w:before="0" w:after="0"/>
              <w:jc w:val="both"/>
              <w:outlineLvl w:val="1"/>
              <w:rPr>
                <w:b w:val="0"/>
                <w:i w:val="0"/>
                <w:sz w:val="24"/>
                <w:szCs w:val="24"/>
              </w:rPr>
            </w:pPr>
            <w:r>
              <w:rPr>
                <w:b w:val="0"/>
                <w:i w:val="0"/>
                <w:sz w:val="24"/>
                <w:szCs w:val="24"/>
              </w:rPr>
              <w:t>Share capital</w:t>
            </w:r>
          </w:p>
        </w:tc>
        <w:tc>
          <w:tcPr>
            <w:tcW w:w="1607" w:type="dxa"/>
            <w:shd w:val="clear" w:color="auto" w:fill="auto"/>
          </w:tcPr>
          <w:p w:rsidR="002B2C6A" w:rsidRPr="002B2C6A" w:rsidRDefault="002B2C6A" w:rsidP="002B2C6A">
            <w:pPr>
              <w:pStyle w:val="Heading2"/>
              <w:spacing w:before="0" w:after="0"/>
              <w:jc w:val="right"/>
              <w:outlineLvl w:val="1"/>
              <w:rPr>
                <w:b w:val="0"/>
                <w:i w:val="0"/>
                <w:sz w:val="24"/>
                <w:szCs w:val="24"/>
              </w:rPr>
            </w:pPr>
            <w:r w:rsidRPr="002B2C6A">
              <w:rPr>
                <w:b w:val="0"/>
                <w:i w:val="0"/>
                <w:sz w:val="24"/>
                <w:szCs w:val="24"/>
              </w:rPr>
              <w:t>182,000</w:t>
            </w:r>
          </w:p>
        </w:tc>
        <w:tc>
          <w:tcPr>
            <w:tcW w:w="1984" w:type="dxa"/>
            <w:shd w:val="clear" w:color="auto" w:fill="auto"/>
          </w:tcPr>
          <w:p w:rsidR="002B2C6A" w:rsidRPr="002B2C6A" w:rsidRDefault="002B2C6A" w:rsidP="002B2C6A">
            <w:pPr>
              <w:pStyle w:val="Heading2"/>
              <w:spacing w:before="0" w:after="0"/>
              <w:jc w:val="right"/>
              <w:outlineLvl w:val="1"/>
              <w:rPr>
                <w:i w:val="0"/>
                <w:sz w:val="24"/>
                <w:szCs w:val="24"/>
              </w:rPr>
            </w:pPr>
            <w:r>
              <w:rPr>
                <w:i w:val="0"/>
                <w:sz w:val="24"/>
                <w:szCs w:val="24"/>
              </w:rPr>
              <w:t>-</w:t>
            </w:r>
          </w:p>
        </w:tc>
        <w:tc>
          <w:tcPr>
            <w:tcW w:w="1530" w:type="dxa"/>
            <w:shd w:val="clear" w:color="auto" w:fill="auto"/>
          </w:tcPr>
          <w:p w:rsidR="002B2C6A" w:rsidRPr="002B2C6A" w:rsidRDefault="002B2C6A" w:rsidP="002B2C6A">
            <w:pPr>
              <w:pStyle w:val="Heading2"/>
              <w:spacing w:before="0" w:after="0"/>
              <w:jc w:val="right"/>
              <w:outlineLvl w:val="1"/>
              <w:rPr>
                <w:b w:val="0"/>
                <w:i w:val="0"/>
                <w:sz w:val="24"/>
                <w:szCs w:val="24"/>
              </w:rPr>
            </w:pPr>
            <w:r w:rsidRPr="002B2C6A">
              <w:rPr>
                <w:b w:val="0"/>
                <w:i w:val="0"/>
                <w:sz w:val="24"/>
                <w:szCs w:val="24"/>
              </w:rPr>
              <w:t>182,000</w:t>
            </w:r>
          </w:p>
        </w:tc>
      </w:tr>
      <w:tr w:rsidR="002B2C6A" w:rsidRPr="002B2C6A" w:rsidTr="002B2C6A">
        <w:tc>
          <w:tcPr>
            <w:tcW w:w="3496" w:type="dxa"/>
            <w:shd w:val="clear" w:color="auto" w:fill="auto"/>
          </w:tcPr>
          <w:p w:rsidR="002B2C6A" w:rsidRDefault="00021344" w:rsidP="002B2C6A">
            <w:pPr>
              <w:pStyle w:val="Heading2"/>
              <w:spacing w:before="0" w:after="0"/>
              <w:jc w:val="both"/>
              <w:outlineLvl w:val="1"/>
              <w:rPr>
                <w:b w:val="0"/>
                <w:i w:val="0"/>
                <w:sz w:val="24"/>
                <w:szCs w:val="24"/>
              </w:rPr>
            </w:pPr>
            <w:r>
              <w:rPr>
                <w:b w:val="0"/>
                <w:i w:val="0"/>
                <w:sz w:val="24"/>
                <w:szCs w:val="24"/>
              </w:rPr>
              <w:t>Retained earnings</w:t>
            </w:r>
          </w:p>
        </w:tc>
        <w:tc>
          <w:tcPr>
            <w:tcW w:w="1607" w:type="dxa"/>
            <w:shd w:val="clear" w:color="auto" w:fill="auto"/>
          </w:tcPr>
          <w:p w:rsidR="002B2C6A" w:rsidRPr="002B2C6A" w:rsidRDefault="0021578B" w:rsidP="0021578B">
            <w:pPr>
              <w:pStyle w:val="Heading2"/>
              <w:spacing w:before="0" w:after="0"/>
              <w:jc w:val="right"/>
              <w:outlineLvl w:val="1"/>
              <w:rPr>
                <w:b w:val="0"/>
                <w:i w:val="0"/>
                <w:sz w:val="24"/>
                <w:szCs w:val="24"/>
              </w:rPr>
            </w:pPr>
            <w:r>
              <w:rPr>
                <w:b w:val="0"/>
                <w:i w:val="0"/>
                <w:sz w:val="24"/>
                <w:szCs w:val="24"/>
              </w:rPr>
              <w:t>61</w:t>
            </w:r>
            <w:r w:rsidR="00021344">
              <w:rPr>
                <w:b w:val="0"/>
                <w:i w:val="0"/>
                <w:sz w:val="24"/>
                <w:szCs w:val="24"/>
              </w:rPr>
              <w:t>,</w:t>
            </w:r>
            <w:r>
              <w:rPr>
                <w:b w:val="0"/>
                <w:i w:val="0"/>
                <w:sz w:val="24"/>
                <w:szCs w:val="24"/>
              </w:rPr>
              <w:t>540</w:t>
            </w:r>
          </w:p>
        </w:tc>
        <w:tc>
          <w:tcPr>
            <w:tcW w:w="1984" w:type="dxa"/>
            <w:shd w:val="clear" w:color="auto" w:fill="auto"/>
          </w:tcPr>
          <w:p w:rsidR="002B2C6A" w:rsidRPr="00021344" w:rsidRDefault="0021578B" w:rsidP="0021578B">
            <w:pPr>
              <w:pStyle w:val="Heading2"/>
              <w:spacing w:before="0" w:after="0"/>
              <w:jc w:val="right"/>
              <w:outlineLvl w:val="1"/>
              <w:rPr>
                <w:b w:val="0"/>
                <w:i w:val="0"/>
                <w:sz w:val="24"/>
                <w:szCs w:val="24"/>
              </w:rPr>
            </w:pPr>
            <w:r>
              <w:rPr>
                <w:b w:val="0"/>
                <w:i w:val="0"/>
                <w:sz w:val="24"/>
                <w:szCs w:val="24"/>
              </w:rPr>
              <w:t>448</w:t>
            </w:r>
          </w:p>
        </w:tc>
        <w:tc>
          <w:tcPr>
            <w:tcW w:w="1530" w:type="dxa"/>
            <w:shd w:val="clear" w:color="auto" w:fill="auto"/>
          </w:tcPr>
          <w:p w:rsidR="002B2C6A" w:rsidRPr="002B2C6A" w:rsidRDefault="0021578B" w:rsidP="0021578B">
            <w:pPr>
              <w:pStyle w:val="Heading2"/>
              <w:spacing w:before="0" w:after="0"/>
              <w:jc w:val="right"/>
              <w:outlineLvl w:val="1"/>
              <w:rPr>
                <w:b w:val="0"/>
                <w:i w:val="0"/>
                <w:sz w:val="24"/>
                <w:szCs w:val="24"/>
              </w:rPr>
            </w:pPr>
            <w:r>
              <w:rPr>
                <w:b w:val="0"/>
                <w:i w:val="0"/>
                <w:sz w:val="24"/>
                <w:szCs w:val="24"/>
              </w:rPr>
              <w:t>61,988</w:t>
            </w:r>
          </w:p>
        </w:tc>
      </w:tr>
      <w:tr w:rsidR="00021344" w:rsidRPr="002B2C6A" w:rsidTr="0021578B">
        <w:tc>
          <w:tcPr>
            <w:tcW w:w="3496" w:type="dxa"/>
            <w:shd w:val="clear" w:color="auto" w:fill="auto"/>
          </w:tcPr>
          <w:p w:rsidR="00021344" w:rsidRDefault="00021344" w:rsidP="002B2C6A">
            <w:pPr>
              <w:pStyle w:val="Heading2"/>
              <w:spacing w:before="0" w:after="0"/>
              <w:jc w:val="both"/>
              <w:outlineLvl w:val="1"/>
              <w:rPr>
                <w:b w:val="0"/>
                <w:i w:val="0"/>
                <w:sz w:val="24"/>
                <w:szCs w:val="24"/>
              </w:rPr>
            </w:pPr>
            <w:r>
              <w:rPr>
                <w:b w:val="0"/>
                <w:i w:val="0"/>
                <w:sz w:val="24"/>
                <w:szCs w:val="24"/>
              </w:rPr>
              <w:t>Revaluation reserve</w:t>
            </w:r>
          </w:p>
        </w:tc>
        <w:tc>
          <w:tcPr>
            <w:tcW w:w="1607" w:type="dxa"/>
            <w:shd w:val="clear" w:color="auto" w:fill="auto"/>
          </w:tcPr>
          <w:p w:rsidR="00021344" w:rsidRDefault="00021344" w:rsidP="002B2C6A">
            <w:pPr>
              <w:pStyle w:val="Heading2"/>
              <w:spacing w:before="0" w:after="0"/>
              <w:jc w:val="right"/>
              <w:outlineLvl w:val="1"/>
              <w:rPr>
                <w:b w:val="0"/>
                <w:i w:val="0"/>
                <w:sz w:val="24"/>
                <w:szCs w:val="24"/>
              </w:rPr>
            </w:pPr>
            <w:r>
              <w:rPr>
                <w:b w:val="0"/>
                <w:i w:val="0"/>
                <w:sz w:val="24"/>
                <w:szCs w:val="24"/>
              </w:rPr>
              <w:t>101</w:t>
            </w:r>
          </w:p>
        </w:tc>
        <w:tc>
          <w:tcPr>
            <w:tcW w:w="1984" w:type="dxa"/>
            <w:shd w:val="clear" w:color="auto" w:fill="auto"/>
          </w:tcPr>
          <w:p w:rsidR="00021344" w:rsidRPr="00021344" w:rsidRDefault="00021344" w:rsidP="002B2C6A">
            <w:pPr>
              <w:pStyle w:val="Heading2"/>
              <w:spacing w:before="0" w:after="0"/>
              <w:jc w:val="right"/>
              <w:outlineLvl w:val="1"/>
              <w:rPr>
                <w:b w:val="0"/>
                <w:i w:val="0"/>
                <w:sz w:val="24"/>
                <w:szCs w:val="24"/>
              </w:rPr>
            </w:pPr>
            <w:r w:rsidRPr="00021344">
              <w:rPr>
                <w:b w:val="0"/>
                <w:i w:val="0"/>
                <w:sz w:val="24"/>
                <w:szCs w:val="24"/>
              </w:rPr>
              <w:t>(101)</w:t>
            </w:r>
            <w:r>
              <w:rPr>
                <w:b w:val="0"/>
                <w:i w:val="0"/>
                <w:sz w:val="24"/>
                <w:szCs w:val="24"/>
              </w:rPr>
              <w:t>#</w:t>
            </w:r>
          </w:p>
        </w:tc>
        <w:tc>
          <w:tcPr>
            <w:tcW w:w="1530" w:type="dxa"/>
            <w:shd w:val="clear" w:color="auto" w:fill="auto"/>
          </w:tcPr>
          <w:p w:rsidR="00021344" w:rsidRDefault="00021344" w:rsidP="002B2C6A">
            <w:pPr>
              <w:pStyle w:val="Heading2"/>
              <w:spacing w:before="0" w:after="0"/>
              <w:jc w:val="right"/>
              <w:outlineLvl w:val="1"/>
              <w:rPr>
                <w:b w:val="0"/>
                <w:i w:val="0"/>
                <w:sz w:val="24"/>
                <w:szCs w:val="24"/>
              </w:rPr>
            </w:pPr>
            <w:r>
              <w:rPr>
                <w:b w:val="0"/>
                <w:i w:val="0"/>
                <w:sz w:val="24"/>
                <w:szCs w:val="24"/>
              </w:rPr>
              <w:t>-</w:t>
            </w:r>
          </w:p>
        </w:tc>
      </w:tr>
      <w:tr w:rsidR="00021344" w:rsidRPr="002B2C6A" w:rsidTr="0021578B">
        <w:tc>
          <w:tcPr>
            <w:tcW w:w="3496" w:type="dxa"/>
            <w:shd w:val="clear" w:color="auto" w:fill="auto"/>
          </w:tcPr>
          <w:p w:rsidR="00021344" w:rsidRDefault="00021344" w:rsidP="002B2C6A">
            <w:pPr>
              <w:pStyle w:val="Heading2"/>
              <w:spacing w:before="0" w:after="0"/>
              <w:jc w:val="both"/>
              <w:outlineLvl w:val="1"/>
              <w:rPr>
                <w:b w:val="0"/>
                <w:i w:val="0"/>
                <w:sz w:val="24"/>
                <w:szCs w:val="24"/>
              </w:rPr>
            </w:pPr>
            <w:r>
              <w:rPr>
                <w:b w:val="0"/>
                <w:i w:val="0"/>
                <w:sz w:val="24"/>
                <w:szCs w:val="24"/>
              </w:rPr>
              <w:t>Foreign currency translation reserve</w:t>
            </w:r>
          </w:p>
        </w:tc>
        <w:tc>
          <w:tcPr>
            <w:tcW w:w="1607" w:type="dxa"/>
            <w:tcBorders>
              <w:bottom w:val="single" w:sz="4" w:space="0" w:color="auto"/>
            </w:tcBorders>
            <w:shd w:val="clear" w:color="auto" w:fill="auto"/>
          </w:tcPr>
          <w:p w:rsidR="00021344" w:rsidRDefault="00021344" w:rsidP="002B2C6A">
            <w:pPr>
              <w:pStyle w:val="Heading2"/>
              <w:spacing w:before="0" w:after="0"/>
              <w:jc w:val="right"/>
              <w:outlineLvl w:val="1"/>
              <w:rPr>
                <w:b w:val="0"/>
                <w:i w:val="0"/>
                <w:sz w:val="24"/>
                <w:szCs w:val="24"/>
              </w:rPr>
            </w:pPr>
          </w:p>
          <w:p w:rsidR="00021344" w:rsidRPr="0021578B" w:rsidRDefault="00021344" w:rsidP="0021578B">
            <w:pPr>
              <w:jc w:val="right"/>
              <w:rPr>
                <w:sz w:val="24"/>
                <w:szCs w:val="24"/>
              </w:rPr>
            </w:pPr>
            <w:r w:rsidRPr="00021344">
              <w:rPr>
                <w:sz w:val="24"/>
                <w:szCs w:val="24"/>
              </w:rPr>
              <w:t>34</w:t>
            </w:r>
            <w:r w:rsidR="0021578B">
              <w:rPr>
                <w:sz w:val="24"/>
                <w:szCs w:val="24"/>
              </w:rPr>
              <w:t>7</w:t>
            </w:r>
          </w:p>
        </w:tc>
        <w:tc>
          <w:tcPr>
            <w:tcW w:w="1984" w:type="dxa"/>
            <w:tcBorders>
              <w:bottom w:val="single" w:sz="4" w:space="0" w:color="auto"/>
            </w:tcBorders>
            <w:shd w:val="clear" w:color="auto" w:fill="auto"/>
          </w:tcPr>
          <w:p w:rsidR="00021344" w:rsidRDefault="00021344" w:rsidP="002B2C6A">
            <w:pPr>
              <w:pStyle w:val="Heading2"/>
              <w:spacing w:before="0" w:after="0"/>
              <w:jc w:val="right"/>
              <w:outlineLvl w:val="1"/>
              <w:rPr>
                <w:b w:val="0"/>
                <w:i w:val="0"/>
                <w:sz w:val="24"/>
                <w:szCs w:val="24"/>
              </w:rPr>
            </w:pPr>
          </w:p>
          <w:p w:rsidR="0021578B" w:rsidRPr="0021578B" w:rsidRDefault="0021578B" w:rsidP="0021578B">
            <w:pPr>
              <w:jc w:val="right"/>
              <w:rPr>
                <w:sz w:val="24"/>
                <w:szCs w:val="24"/>
              </w:rPr>
            </w:pPr>
            <w:r>
              <w:rPr>
                <w:sz w:val="24"/>
                <w:szCs w:val="24"/>
              </w:rPr>
              <w:t>(347)</w:t>
            </w:r>
            <w:r w:rsidR="004947D3">
              <w:rPr>
                <w:sz w:val="24"/>
                <w:szCs w:val="24"/>
              </w:rPr>
              <w:t>#</w:t>
            </w:r>
          </w:p>
        </w:tc>
        <w:tc>
          <w:tcPr>
            <w:tcW w:w="1530" w:type="dxa"/>
            <w:tcBorders>
              <w:bottom w:val="single" w:sz="4" w:space="0" w:color="auto"/>
            </w:tcBorders>
            <w:shd w:val="clear" w:color="auto" w:fill="auto"/>
          </w:tcPr>
          <w:p w:rsidR="00021344" w:rsidRDefault="00021344" w:rsidP="002B2C6A">
            <w:pPr>
              <w:pStyle w:val="Heading2"/>
              <w:spacing w:before="0" w:after="0"/>
              <w:jc w:val="right"/>
              <w:outlineLvl w:val="1"/>
              <w:rPr>
                <w:b w:val="0"/>
                <w:i w:val="0"/>
                <w:sz w:val="24"/>
                <w:szCs w:val="24"/>
              </w:rPr>
            </w:pPr>
          </w:p>
          <w:p w:rsidR="0021578B" w:rsidRPr="0021578B" w:rsidRDefault="0021578B" w:rsidP="0021578B">
            <w:pPr>
              <w:jc w:val="right"/>
              <w:rPr>
                <w:sz w:val="24"/>
                <w:szCs w:val="24"/>
              </w:rPr>
            </w:pPr>
            <w:r>
              <w:rPr>
                <w:sz w:val="24"/>
                <w:szCs w:val="24"/>
              </w:rPr>
              <w:t>-</w:t>
            </w:r>
          </w:p>
        </w:tc>
      </w:tr>
      <w:tr w:rsidR="0021578B" w:rsidRPr="002B2C6A" w:rsidTr="0021578B">
        <w:tc>
          <w:tcPr>
            <w:tcW w:w="3496" w:type="dxa"/>
            <w:shd w:val="clear" w:color="auto" w:fill="auto"/>
          </w:tcPr>
          <w:p w:rsidR="0021578B" w:rsidRDefault="0021578B" w:rsidP="002B2C6A">
            <w:pPr>
              <w:pStyle w:val="Heading2"/>
              <w:spacing w:before="0" w:after="0"/>
              <w:jc w:val="both"/>
              <w:outlineLvl w:val="1"/>
              <w:rPr>
                <w:b w:val="0"/>
                <w:i w:val="0"/>
                <w:sz w:val="24"/>
                <w:szCs w:val="24"/>
              </w:rPr>
            </w:pPr>
            <w:r>
              <w:rPr>
                <w:b w:val="0"/>
                <w:i w:val="0"/>
                <w:sz w:val="24"/>
                <w:szCs w:val="24"/>
              </w:rPr>
              <w:t>Equity attributable to owners of the parent</w:t>
            </w:r>
          </w:p>
        </w:tc>
        <w:tc>
          <w:tcPr>
            <w:tcW w:w="1607" w:type="dxa"/>
            <w:tcBorders>
              <w:top w:val="single" w:sz="4" w:space="0" w:color="auto"/>
            </w:tcBorders>
            <w:shd w:val="clear" w:color="auto" w:fill="auto"/>
          </w:tcPr>
          <w:p w:rsidR="0021578B" w:rsidRDefault="0021578B" w:rsidP="002B2C6A">
            <w:pPr>
              <w:pStyle w:val="Heading2"/>
              <w:spacing w:before="0" w:after="0"/>
              <w:jc w:val="right"/>
              <w:outlineLvl w:val="1"/>
              <w:rPr>
                <w:b w:val="0"/>
                <w:i w:val="0"/>
                <w:sz w:val="24"/>
                <w:szCs w:val="24"/>
              </w:rPr>
            </w:pPr>
          </w:p>
          <w:p w:rsidR="0021578B" w:rsidRPr="0021578B" w:rsidRDefault="0021578B" w:rsidP="0021578B">
            <w:pPr>
              <w:jc w:val="right"/>
              <w:rPr>
                <w:sz w:val="24"/>
                <w:szCs w:val="24"/>
              </w:rPr>
            </w:pPr>
            <w:r>
              <w:rPr>
                <w:sz w:val="24"/>
                <w:szCs w:val="24"/>
              </w:rPr>
              <w:t>243,988</w:t>
            </w:r>
          </w:p>
        </w:tc>
        <w:tc>
          <w:tcPr>
            <w:tcW w:w="1984" w:type="dxa"/>
            <w:tcBorders>
              <w:top w:val="single" w:sz="4" w:space="0" w:color="auto"/>
            </w:tcBorders>
            <w:shd w:val="clear" w:color="auto" w:fill="auto"/>
          </w:tcPr>
          <w:p w:rsidR="0021578B" w:rsidRDefault="0021578B" w:rsidP="002B2C6A">
            <w:pPr>
              <w:pStyle w:val="Heading2"/>
              <w:spacing w:before="0" w:after="0"/>
              <w:jc w:val="right"/>
              <w:outlineLvl w:val="1"/>
              <w:rPr>
                <w:b w:val="0"/>
                <w:i w:val="0"/>
                <w:sz w:val="24"/>
                <w:szCs w:val="24"/>
              </w:rPr>
            </w:pPr>
          </w:p>
          <w:p w:rsidR="0021578B" w:rsidRPr="0021578B" w:rsidRDefault="0021578B" w:rsidP="0021578B">
            <w:pPr>
              <w:jc w:val="right"/>
              <w:rPr>
                <w:sz w:val="24"/>
                <w:szCs w:val="24"/>
              </w:rPr>
            </w:pPr>
            <w:r>
              <w:rPr>
                <w:sz w:val="24"/>
                <w:szCs w:val="24"/>
              </w:rPr>
              <w:t>-</w:t>
            </w:r>
          </w:p>
        </w:tc>
        <w:tc>
          <w:tcPr>
            <w:tcW w:w="1530" w:type="dxa"/>
            <w:tcBorders>
              <w:top w:val="single" w:sz="4" w:space="0" w:color="auto"/>
            </w:tcBorders>
            <w:shd w:val="clear" w:color="auto" w:fill="auto"/>
          </w:tcPr>
          <w:p w:rsidR="0021578B" w:rsidRDefault="0021578B" w:rsidP="002B2C6A">
            <w:pPr>
              <w:pStyle w:val="Heading2"/>
              <w:spacing w:before="0" w:after="0"/>
              <w:jc w:val="right"/>
              <w:outlineLvl w:val="1"/>
              <w:rPr>
                <w:b w:val="0"/>
                <w:i w:val="0"/>
                <w:sz w:val="24"/>
                <w:szCs w:val="24"/>
              </w:rPr>
            </w:pPr>
          </w:p>
          <w:p w:rsidR="0021578B" w:rsidRPr="0021578B" w:rsidRDefault="0021578B" w:rsidP="0021578B">
            <w:pPr>
              <w:jc w:val="right"/>
              <w:rPr>
                <w:sz w:val="24"/>
                <w:szCs w:val="24"/>
              </w:rPr>
            </w:pPr>
            <w:r>
              <w:rPr>
                <w:sz w:val="24"/>
                <w:szCs w:val="24"/>
              </w:rPr>
              <w:t>243,988</w:t>
            </w:r>
          </w:p>
        </w:tc>
      </w:tr>
      <w:tr w:rsidR="0021578B" w:rsidRPr="002B2C6A" w:rsidTr="0021578B">
        <w:tc>
          <w:tcPr>
            <w:tcW w:w="3496" w:type="dxa"/>
            <w:shd w:val="clear" w:color="auto" w:fill="auto"/>
          </w:tcPr>
          <w:p w:rsidR="0021578B" w:rsidRDefault="0021578B" w:rsidP="002B2C6A">
            <w:pPr>
              <w:pStyle w:val="Heading2"/>
              <w:spacing w:before="0" w:after="0"/>
              <w:jc w:val="both"/>
              <w:outlineLvl w:val="1"/>
              <w:rPr>
                <w:b w:val="0"/>
                <w:i w:val="0"/>
                <w:sz w:val="24"/>
                <w:szCs w:val="24"/>
              </w:rPr>
            </w:pPr>
            <w:r>
              <w:rPr>
                <w:b w:val="0"/>
                <w:i w:val="0"/>
                <w:sz w:val="24"/>
                <w:szCs w:val="24"/>
              </w:rPr>
              <w:t>Non-controlling interests</w:t>
            </w:r>
          </w:p>
        </w:tc>
        <w:tc>
          <w:tcPr>
            <w:tcW w:w="1607" w:type="dxa"/>
            <w:tcBorders>
              <w:bottom w:val="single" w:sz="4" w:space="0" w:color="auto"/>
            </w:tcBorders>
            <w:shd w:val="clear" w:color="auto" w:fill="auto"/>
          </w:tcPr>
          <w:p w:rsidR="0021578B" w:rsidRDefault="0021578B" w:rsidP="001C05EA">
            <w:pPr>
              <w:pStyle w:val="Heading2"/>
              <w:spacing w:before="0" w:after="0"/>
              <w:jc w:val="right"/>
              <w:outlineLvl w:val="1"/>
              <w:rPr>
                <w:b w:val="0"/>
                <w:i w:val="0"/>
                <w:sz w:val="24"/>
                <w:szCs w:val="24"/>
              </w:rPr>
            </w:pPr>
            <w:r>
              <w:rPr>
                <w:b w:val="0"/>
                <w:i w:val="0"/>
                <w:sz w:val="24"/>
                <w:szCs w:val="24"/>
              </w:rPr>
              <w:t>9,78</w:t>
            </w:r>
            <w:r w:rsidR="001C05EA">
              <w:rPr>
                <w:b w:val="0"/>
                <w:i w:val="0"/>
                <w:sz w:val="24"/>
                <w:szCs w:val="24"/>
              </w:rPr>
              <w:t>2</w:t>
            </w:r>
          </w:p>
        </w:tc>
        <w:tc>
          <w:tcPr>
            <w:tcW w:w="1984" w:type="dxa"/>
            <w:tcBorders>
              <w:bottom w:val="single" w:sz="4" w:space="0" w:color="auto"/>
            </w:tcBorders>
            <w:shd w:val="clear" w:color="auto" w:fill="auto"/>
          </w:tcPr>
          <w:p w:rsidR="0021578B" w:rsidRDefault="0021578B" w:rsidP="002B2C6A">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shd w:val="clear" w:color="auto" w:fill="auto"/>
          </w:tcPr>
          <w:p w:rsidR="0021578B" w:rsidRDefault="0021578B" w:rsidP="001C05EA">
            <w:pPr>
              <w:pStyle w:val="Heading2"/>
              <w:spacing w:before="0" w:after="0"/>
              <w:jc w:val="right"/>
              <w:outlineLvl w:val="1"/>
              <w:rPr>
                <w:b w:val="0"/>
                <w:i w:val="0"/>
                <w:sz w:val="24"/>
                <w:szCs w:val="24"/>
              </w:rPr>
            </w:pPr>
            <w:r>
              <w:rPr>
                <w:b w:val="0"/>
                <w:i w:val="0"/>
                <w:sz w:val="24"/>
                <w:szCs w:val="24"/>
              </w:rPr>
              <w:t>9,78</w:t>
            </w:r>
            <w:r w:rsidR="001C05EA">
              <w:rPr>
                <w:b w:val="0"/>
                <w:i w:val="0"/>
                <w:sz w:val="24"/>
                <w:szCs w:val="24"/>
              </w:rPr>
              <w:t>2</w:t>
            </w:r>
          </w:p>
        </w:tc>
      </w:tr>
      <w:tr w:rsidR="0021578B" w:rsidRPr="002B2C6A" w:rsidTr="0021578B">
        <w:tc>
          <w:tcPr>
            <w:tcW w:w="3496" w:type="dxa"/>
            <w:shd w:val="clear" w:color="auto" w:fill="auto"/>
          </w:tcPr>
          <w:p w:rsidR="0021578B" w:rsidRPr="0021578B" w:rsidRDefault="0021578B" w:rsidP="002B2C6A">
            <w:pPr>
              <w:pStyle w:val="Heading2"/>
              <w:spacing w:before="0" w:after="0"/>
              <w:jc w:val="both"/>
              <w:outlineLvl w:val="1"/>
              <w:rPr>
                <w:i w:val="0"/>
                <w:sz w:val="24"/>
                <w:szCs w:val="24"/>
              </w:rPr>
            </w:pPr>
            <w:r w:rsidRPr="0021578B">
              <w:rPr>
                <w:i w:val="0"/>
                <w:sz w:val="24"/>
                <w:szCs w:val="24"/>
              </w:rPr>
              <w:t>TOTAL EQUITY</w:t>
            </w:r>
          </w:p>
        </w:tc>
        <w:tc>
          <w:tcPr>
            <w:tcW w:w="1607" w:type="dxa"/>
            <w:tcBorders>
              <w:top w:val="single" w:sz="4" w:space="0" w:color="auto"/>
              <w:bottom w:val="single" w:sz="4" w:space="0" w:color="auto"/>
            </w:tcBorders>
            <w:shd w:val="clear" w:color="auto" w:fill="auto"/>
          </w:tcPr>
          <w:p w:rsidR="0021578B" w:rsidRDefault="00A90525" w:rsidP="001C05EA">
            <w:pPr>
              <w:pStyle w:val="Heading2"/>
              <w:spacing w:before="0" w:after="0"/>
              <w:jc w:val="right"/>
              <w:outlineLvl w:val="1"/>
              <w:rPr>
                <w:b w:val="0"/>
                <w:i w:val="0"/>
                <w:sz w:val="24"/>
                <w:szCs w:val="24"/>
              </w:rPr>
            </w:pPr>
            <w:r>
              <w:rPr>
                <w:b w:val="0"/>
                <w:i w:val="0"/>
                <w:sz w:val="24"/>
                <w:szCs w:val="24"/>
              </w:rPr>
              <w:t>253,7</w:t>
            </w:r>
            <w:r w:rsidR="001C05EA">
              <w:rPr>
                <w:b w:val="0"/>
                <w:i w:val="0"/>
                <w:sz w:val="24"/>
                <w:szCs w:val="24"/>
              </w:rPr>
              <w:t>70</w:t>
            </w:r>
          </w:p>
        </w:tc>
        <w:tc>
          <w:tcPr>
            <w:tcW w:w="1984" w:type="dxa"/>
            <w:tcBorders>
              <w:top w:val="single" w:sz="4" w:space="0" w:color="auto"/>
              <w:bottom w:val="single" w:sz="4" w:space="0" w:color="auto"/>
            </w:tcBorders>
            <w:shd w:val="clear" w:color="auto" w:fill="auto"/>
          </w:tcPr>
          <w:p w:rsidR="0021578B" w:rsidRDefault="0021578B" w:rsidP="002B2C6A">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shd w:val="clear" w:color="auto" w:fill="auto"/>
          </w:tcPr>
          <w:p w:rsidR="0021578B" w:rsidRDefault="0021578B" w:rsidP="001C05EA">
            <w:pPr>
              <w:pStyle w:val="Heading2"/>
              <w:spacing w:before="0" w:after="0"/>
              <w:jc w:val="right"/>
              <w:outlineLvl w:val="1"/>
              <w:rPr>
                <w:b w:val="0"/>
                <w:i w:val="0"/>
                <w:sz w:val="24"/>
                <w:szCs w:val="24"/>
              </w:rPr>
            </w:pPr>
            <w:r>
              <w:rPr>
                <w:b w:val="0"/>
                <w:i w:val="0"/>
                <w:sz w:val="24"/>
                <w:szCs w:val="24"/>
              </w:rPr>
              <w:t>253,7</w:t>
            </w:r>
            <w:r w:rsidR="001C05EA">
              <w:rPr>
                <w:b w:val="0"/>
                <w:i w:val="0"/>
                <w:sz w:val="24"/>
                <w:szCs w:val="24"/>
              </w:rPr>
              <w:t>70</w:t>
            </w:r>
          </w:p>
        </w:tc>
      </w:tr>
    </w:tbl>
    <w:p w:rsidR="00CA5361" w:rsidRDefault="00CA5361" w:rsidP="0021578B">
      <w:pPr>
        <w:pStyle w:val="BodyText2"/>
        <w:spacing w:before="90" w:line="260" w:lineRule="exact"/>
        <w:ind w:left="0"/>
        <w:rPr>
          <w:rFonts w:ascii="Times New Roman" w:hAnsi="Times New Roman"/>
          <w:sz w:val="24"/>
          <w:szCs w:val="24"/>
        </w:rPr>
      </w:pPr>
    </w:p>
    <w:p w:rsidR="00CA5361" w:rsidRDefault="00CA5361">
      <w:pPr>
        <w:overflowPunct/>
        <w:autoSpaceDE/>
        <w:autoSpaceDN/>
        <w:adjustRightInd/>
        <w:textAlignment w:val="auto"/>
        <w:rPr>
          <w:sz w:val="24"/>
          <w:szCs w:val="24"/>
          <w:lang w:val="en-GB"/>
        </w:rPr>
      </w:pPr>
      <w:r>
        <w:rPr>
          <w:sz w:val="24"/>
          <w:szCs w:val="24"/>
        </w:rPr>
        <w:br w:type="page"/>
      </w:r>
    </w:p>
    <w:p w:rsidR="00CA5361" w:rsidRPr="00C425EA" w:rsidRDefault="00CA5361" w:rsidP="00CA5361">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CA5361" w:rsidRDefault="00CA5361" w:rsidP="000B7113">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Reconciliation of Consoli</w:t>
      </w:r>
      <w:r w:rsidR="000B7113">
        <w:rPr>
          <w:rFonts w:ascii="Times New Roman" w:hAnsi="Times New Roman"/>
          <w:sz w:val="24"/>
          <w:szCs w:val="24"/>
        </w:rPr>
        <w:t xml:space="preserve">dated Financial Position as at </w:t>
      </w:r>
      <w:r w:rsidR="000B7113" w:rsidRPr="004947D3">
        <w:rPr>
          <w:rFonts w:ascii="Times New Roman" w:hAnsi="Times New Roman"/>
          <w:b/>
          <w:sz w:val="24"/>
          <w:szCs w:val="24"/>
        </w:rPr>
        <w:t>3</w:t>
      </w:r>
      <w:r w:rsidR="00F77B6E">
        <w:rPr>
          <w:rFonts w:ascii="Times New Roman" w:hAnsi="Times New Roman"/>
          <w:b/>
          <w:sz w:val="24"/>
          <w:szCs w:val="24"/>
        </w:rPr>
        <w:t>1</w:t>
      </w:r>
      <w:r w:rsidRPr="004947D3">
        <w:rPr>
          <w:rFonts w:ascii="Times New Roman" w:hAnsi="Times New Roman"/>
          <w:b/>
          <w:sz w:val="24"/>
          <w:szCs w:val="24"/>
        </w:rPr>
        <w:t xml:space="preserve"> </w:t>
      </w:r>
      <w:r w:rsidR="00C85DDA">
        <w:rPr>
          <w:rFonts w:ascii="Times New Roman" w:hAnsi="Times New Roman"/>
          <w:b/>
          <w:sz w:val="24"/>
          <w:szCs w:val="24"/>
        </w:rPr>
        <w:t xml:space="preserve">March </w:t>
      </w:r>
      <w:r w:rsidRPr="004947D3">
        <w:rPr>
          <w:rFonts w:ascii="Times New Roman" w:hAnsi="Times New Roman"/>
          <w:b/>
          <w:sz w:val="24"/>
          <w:szCs w:val="24"/>
        </w:rPr>
        <w:t>201</w:t>
      </w:r>
      <w:r w:rsidR="00C85DDA">
        <w:rPr>
          <w:rFonts w:ascii="Times New Roman" w:hAnsi="Times New Roman"/>
          <w:b/>
          <w:sz w:val="24"/>
          <w:szCs w:val="24"/>
        </w:rPr>
        <w:t>2</w:t>
      </w:r>
    </w:p>
    <w:p w:rsidR="000B7113" w:rsidRDefault="000B7113" w:rsidP="000B7113">
      <w:pPr>
        <w:pStyle w:val="BodyText2"/>
        <w:spacing w:before="90" w:line="260" w:lineRule="exact"/>
        <w:ind w:left="142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0B7113" w:rsidTr="000A3DAD">
        <w:tc>
          <w:tcPr>
            <w:tcW w:w="3496" w:type="dxa"/>
          </w:tcPr>
          <w:p w:rsidR="000B7113" w:rsidRDefault="000B7113" w:rsidP="000A3DAD">
            <w:pPr>
              <w:pStyle w:val="Heading2"/>
              <w:spacing w:before="0" w:after="0"/>
              <w:jc w:val="both"/>
              <w:outlineLvl w:val="1"/>
              <w:rPr>
                <w:b w:val="0"/>
                <w:i w:val="0"/>
                <w:sz w:val="24"/>
                <w:szCs w:val="24"/>
              </w:rPr>
            </w:pPr>
          </w:p>
        </w:tc>
        <w:tc>
          <w:tcPr>
            <w:tcW w:w="1607" w:type="dxa"/>
          </w:tcPr>
          <w:p w:rsidR="000B7113" w:rsidRDefault="000B7113" w:rsidP="000A3DAD">
            <w:pPr>
              <w:pStyle w:val="Heading2"/>
              <w:spacing w:before="0" w:after="0"/>
              <w:jc w:val="right"/>
              <w:outlineLvl w:val="1"/>
              <w:rPr>
                <w:b w:val="0"/>
                <w:i w:val="0"/>
                <w:sz w:val="24"/>
                <w:szCs w:val="24"/>
              </w:rPr>
            </w:pPr>
          </w:p>
          <w:p w:rsidR="000B7113" w:rsidRDefault="000B7113" w:rsidP="000A3DAD">
            <w:pPr>
              <w:pStyle w:val="Heading2"/>
              <w:spacing w:before="0" w:after="0"/>
              <w:jc w:val="right"/>
              <w:outlineLvl w:val="1"/>
              <w:rPr>
                <w:b w:val="0"/>
                <w:i w:val="0"/>
                <w:sz w:val="24"/>
                <w:szCs w:val="24"/>
              </w:rPr>
            </w:pPr>
            <w:r>
              <w:rPr>
                <w:b w:val="0"/>
                <w:i w:val="0"/>
                <w:sz w:val="24"/>
                <w:szCs w:val="24"/>
              </w:rPr>
              <w:t>Under FRS Framework</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0B7113" w:rsidRDefault="000B7113" w:rsidP="000A3DAD">
            <w:pPr>
              <w:pStyle w:val="Heading2"/>
              <w:spacing w:before="0" w:after="0"/>
              <w:jc w:val="right"/>
              <w:outlineLvl w:val="1"/>
              <w:rPr>
                <w:b w:val="0"/>
                <w:i w:val="0"/>
                <w:sz w:val="24"/>
                <w:szCs w:val="24"/>
              </w:rPr>
            </w:pPr>
          </w:p>
          <w:p w:rsidR="000B7113" w:rsidRDefault="000B7113" w:rsidP="000A3DAD">
            <w:pPr>
              <w:pStyle w:val="Heading2"/>
              <w:spacing w:before="0" w:after="0"/>
              <w:jc w:val="right"/>
              <w:outlineLvl w:val="1"/>
              <w:rPr>
                <w:b w:val="0"/>
                <w:i w:val="0"/>
                <w:sz w:val="24"/>
                <w:szCs w:val="24"/>
              </w:rPr>
            </w:pPr>
            <w:r>
              <w:rPr>
                <w:b w:val="0"/>
                <w:i w:val="0"/>
                <w:sz w:val="24"/>
                <w:szCs w:val="24"/>
              </w:rPr>
              <w:t>Under MFRS Framework</w:t>
            </w:r>
          </w:p>
        </w:tc>
      </w:tr>
      <w:tr w:rsidR="000B7113" w:rsidRPr="002B2C6A" w:rsidTr="000A3DAD">
        <w:tc>
          <w:tcPr>
            <w:tcW w:w="3496" w:type="dxa"/>
            <w:shd w:val="clear" w:color="auto" w:fill="D9D9D9" w:themeFill="background1" w:themeFillShade="D9"/>
          </w:tcPr>
          <w:p w:rsidR="000B7113" w:rsidRPr="002B2C6A" w:rsidRDefault="000B7113" w:rsidP="000A3DAD">
            <w:pPr>
              <w:pStyle w:val="Heading2"/>
              <w:spacing w:before="0" w:after="0"/>
              <w:jc w:val="both"/>
              <w:outlineLvl w:val="1"/>
              <w:rPr>
                <w:i w:val="0"/>
                <w:sz w:val="24"/>
                <w:szCs w:val="24"/>
              </w:rPr>
            </w:pPr>
            <w:r w:rsidRPr="002B2C6A">
              <w:rPr>
                <w:i w:val="0"/>
                <w:sz w:val="24"/>
                <w:szCs w:val="24"/>
              </w:rPr>
              <w:t>ASSETS</w:t>
            </w:r>
          </w:p>
        </w:tc>
        <w:tc>
          <w:tcPr>
            <w:tcW w:w="1607" w:type="dxa"/>
            <w:shd w:val="clear" w:color="auto" w:fill="D9D9D9" w:themeFill="background1" w:themeFillShade="D9"/>
          </w:tcPr>
          <w:p w:rsidR="000B7113" w:rsidRPr="002B2C6A" w:rsidRDefault="000B7113" w:rsidP="000A3DAD">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0B7113" w:rsidRPr="002B2C6A" w:rsidRDefault="000B7113" w:rsidP="000A3DAD">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0B7113" w:rsidRPr="002B2C6A" w:rsidRDefault="000B7113" w:rsidP="000A3DAD">
            <w:pPr>
              <w:pStyle w:val="Heading2"/>
              <w:spacing w:before="0" w:after="0"/>
              <w:jc w:val="right"/>
              <w:outlineLvl w:val="1"/>
              <w:rPr>
                <w:i w:val="0"/>
                <w:sz w:val="24"/>
                <w:szCs w:val="24"/>
              </w:rPr>
            </w:pPr>
            <w:r w:rsidRPr="002B2C6A">
              <w:rPr>
                <w:i w:val="0"/>
                <w:sz w:val="24"/>
                <w:szCs w:val="24"/>
              </w:rPr>
              <w:t>RM’000</w:t>
            </w:r>
          </w:p>
        </w:tc>
      </w:tr>
      <w:tr w:rsidR="000B7113" w:rsidTr="000A3DAD">
        <w:tc>
          <w:tcPr>
            <w:tcW w:w="3496" w:type="dxa"/>
          </w:tcPr>
          <w:p w:rsidR="000B7113" w:rsidRPr="00E34A43" w:rsidRDefault="000B7113" w:rsidP="000A3DAD">
            <w:pPr>
              <w:pStyle w:val="Heading2"/>
              <w:spacing w:before="0" w:after="0"/>
              <w:jc w:val="both"/>
              <w:outlineLvl w:val="1"/>
              <w:rPr>
                <w:i w:val="0"/>
                <w:sz w:val="24"/>
                <w:szCs w:val="24"/>
              </w:rPr>
            </w:pPr>
            <w:r w:rsidRPr="00E34A43">
              <w:rPr>
                <w:i w:val="0"/>
                <w:sz w:val="24"/>
                <w:szCs w:val="24"/>
              </w:rPr>
              <w:t>Non-current assets</w:t>
            </w:r>
          </w:p>
        </w:tc>
        <w:tc>
          <w:tcPr>
            <w:tcW w:w="1607" w:type="dxa"/>
          </w:tcPr>
          <w:p w:rsidR="000B7113" w:rsidRDefault="000B7113" w:rsidP="000A3DAD">
            <w:pPr>
              <w:pStyle w:val="Heading2"/>
              <w:spacing w:before="0" w:after="0"/>
              <w:jc w:val="right"/>
              <w:outlineLvl w:val="1"/>
              <w:rPr>
                <w:b w:val="0"/>
                <w:i w:val="0"/>
                <w:sz w:val="24"/>
                <w:szCs w:val="24"/>
              </w:rPr>
            </w:pPr>
          </w:p>
        </w:tc>
        <w:tc>
          <w:tcPr>
            <w:tcW w:w="1984" w:type="dxa"/>
          </w:tcPr>
          <w:p w:rsidR="000B7113" w:rsidRDefault="000B7113" w:rsidP="000A3DAD">
            <w:pPr>
              <w:pStyle w:val="Heading2"/>
              <w:spacing w:before="0" w:after="0"/>
              <w:jc w:val="right"/>
              <w:outlineLvl w:val="1"/>
              <w:rPr>
                <w:b w:val="0"/>
                <w:i w:val="0"/>
                <w:sz w:val="24"/>
                <w:szCs w:val="24"/>
              </w:rPr>
            </w:pPr>
          </w:p>
        </w:tc>
        <w:tc>
          <w:tcPr>
            <w:tcW w:w="1530" w:type="dxa"/>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Property, plant and equipment</w:t>
            </w:r>
          </w:p>
        </w:tc>
        <w:tc>
          <w:tcPr>
            <w:tcW w:w="1607" w:type="dxa"/>
          </w:tcPr>
          <w:p w:rsidR="000B7113" w:rsidRDefault="00F77B6E" w:rsidP="00C85DDA">
            <w:pPr>
              <w:pStyle w:val="Heading2"/>
              <w:spacing w:before="0" w:after="0"/>
              <w:jc w:val="right"/>
              <w:outlineLvl w:val="1"/>
              <w:rPr>
                <w:b w:val="0"/>
                <w:i w:val="0"/>
                <w:sz w:val="24"/>
                <w:szCs w:val="24"/>
              </w:rPr>
            </w:pPr>
            <w:r>
              <w:rPr>
                <w:b w:val="0"/>
                <w:i w:val="0"/>
                <w:sz w:val="24"/>
                <w:szCs w:val="24"/>
              </w:rPr>
              <w:t>1</w:t>
            </w:r>
            <w:r w:rsidR="00C85DDA">
              <w:rPr>
                <w:b w:val="0"/>
                <w:i w:val="0"/>
                <w:sz w:val="24"/>
                <w:szCs w:val="24"/>
              </w:rPr>
              <w:t>68,315</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C85DDA" w:rsidP="000A3DAD">
            <w:pPr>
              <w:pStyle w:val="Heading2"/>
              <w:spacing w:before="0" w:after="0"/>
              <w:jc w:val="right"/>
              <w:outlineLvl w:val="1"/>
              <w:rPr>
                <w:b w:val="0"/>
                <w:i w:val="0"/>
                <w:sz w:val="24"/>
                <w:szCs w:val="24"/>
              </w:rPr>
            </w:pPr>
            <w:r>
              <w:rPr>
                <w:b w:val="0"/>
                <w:i w:val="0"/>
                <w:sz w:val="24"/>
                <w:szCs w:val="24"/>
              </w:rPr>
              <w:t>168,315</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Investment properties</w:t>
            </w:r>
          </w:p>
        </w:tc>
        <w:tc>
          <w:tcPr>
            <w:tcW w:w="1607" w:type="dxa"/>
          </w:tcPr>
          <w:p w:rsidR="000B7113" w:rsidRDefault="00C85DDA" w:rsidP="00F77B6E">
            <w:pPr>
              <w:pStyle w:val="Heading2"/>
              <w:spacing w:before="0" w:after="0"/>
              <w:jc w:val="right"/>
              <w:outlineLvl w:val="1"/>
              <w:rPr>
                <w:b w:val="0"/>
                <w:i w:val="0"/>
                <w:sz w:val="24"/>
                <w:szCs w:val="24"/>
              </w:rPr>
            </w:pPr>
            <w:r>
              <w:rPr>
                <w:b w:val="0"/>
                <w:i w:val="0"/>
                <w:sz w:val="24"/>
                <w:szCs w:val="24"/>
              </w:rPr>
              <w:t>10,029</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0B7113" w:rsidP="00C85DDA">
            <w:pPr>
              <w:pStyle w:val="Heading2"/>
              <w:spacing w:before="0" w:after="0"/>
              <w:jc w:val="right"/>
              <w:outlineLvl w:val="1"/>
              <w:rPr>
                <w:b w:val="0"/>
                <w:i w:val="0"/>
                <w:sz w:val="24"/>
                <w:szCs w:val="24"/>
              </w:rPr>
            </w:pPr>
            <w:r>
              <w:rPr>
                <w:b w:val="0"/>
                <w:i w:val="0"/>
                <w:sz w:val="24"/>
                <w:szCs w:val="24"/>
              </w:rPr>
              <w:t>10,</w:t>
            </w:r>
            <w:r w:rsidR="00C85DDA">
              <w:rPr>
                <w:b w:val="0"/>
                <w:i w:val="0"/>
                <w:sz w:val="24"/>
                <w:szCs w:val="24"/>
              </w:rPr>
              <w:t>029</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Prepaid land lease payments</w:t>
            </w:r>
          </w:p>
        </w:tc>
        <w:tc>
          <w:tcPr>
            <w:tcW w:w="1607" w:type="dxa"/>
          </w:tcPr>
          <w:p w:rsidR="000B7113" w:rsidRDefault="000B7113" w:rsidP="00C85DDA">
            <w:pPr>
              <w:pStyle w:val="Heading2"/>
              <w:spacing w:before="0" w:after="0"/>
              <w:jc w:val="right"/>
              <w:outlineLvl w:val="1"/>
              <w:rPr>
                <w:b w:val="0"/>
                <w:i w:val="0"/>
                <w:sz w:val="24"/>
                <w:szCs w:val="24"/>
              </w:rPr>
            </w:pPr>
            <w:r>
              <w:rPr>
                <w:b w:val="0"/>
                <w:i w:val="0"/>
                <w:sz w:val="24"/>
                <w:szCs w:val="24"/>
              </w:rPr>
              <w:t>45,</w:t>
            </w:r>
            <w:r w:rsidR="00F77B6E">
              <w:rPr>
                <w:b w:val="0"/>
                <w:i w:val="0"/>
                <w:sz w:val="24"/>
                <w:szCs w:val="24"/>
              </w:rPr>
              <w:t>3</w:t>
            </w:r>
            <w:r w:rsidR="00C85DDA">
              <w:rPr>
                <w:b w:val="0"/>
                <w:i w:val="0"/>
                <w:sz w:val="24"/>
                <w:szCs w:val="24"/>
              </w:rPr>
              <w:t>58</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0B7113" w:rsidP="00C85DDA">
            <w:pPr>
              <w:pStyle w:val="Heading2"/>
              <w:spacing w:before="0" w:after="0"/>
              <w:jc w:val="right"/>
              <w:outlineLvl w:val="1"/>
              <w:rPr>
                <w:b w:val="0"/>
                <w:i w:val="0"/>
                <w:sz w:val="24"/>
                <w:szCs w:val="24"/>
              </w:rPr>
            </w:pPr>
            <w:r>
              <w:rPr>
                <w:b w:val="0"/>
                <w:i w:val="0"/>
                <w:sz w:val="24"/>
                <w:szCs w:val="24"/>
              </w:rPr>
              <w:t>45,</w:t>
            </w:r>
            <w:r w:rsidR="00C85DDA">
              <w:rPr>
                <w:b w:val="0"/>
                <w:i w:val="0"/>
                <w:sz w:val="24"/>
                <w:szCs w:val="24"/>
              </w:rPr>
              <w:t>358</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Intangible assets</w:t>
            </w:r>
          </w:p>
        </w:tc>
        <w:tc>
          <w:tcPr>
            <w:tcW w:w="1607" w:type="dxa"/>
          </w:tcPr>
          <w:p w:rsidR="000B7113" w:rsidRDefault="000B7113" w:rsidP="00FD23EE">
            <w:pPr>
              <w:pStyle w:val="Heading2"/>
              <w:spacing w:before="0" w:after="0"/>
              <w:jc w:val="right"/>
              <w:outlineLvl w:val="1"/>
              <w:rPr>
                <w:b w:val="0"/>
                <w:i w:val="0"/>
                <w:sz w:val="24"/>
                <w:szCs w:val="24"/>
              </w:rPr>
            </w:pPr>
            <w:r>
              <w:rPr>
                <w:b w:val="0"/>
                <w:i w:val="0"/>
                <w:sz w:val="24"/>
                <w:szCs w:val="24"/>
              </w:rPr>
              <w:t>94,59</w:t>
            </w:r>
            <w:r w:rsidR="00FD23EE">
              <w:rPr>
                <w:b w:val="0"/>
                <w:i w:val="0"/>
                <w:sz w:val="24"/>
                <w:szCs w:val="24"/>
              </w:rPr>
              <w:t>2</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0B7113" w:rsidP="00FD23EE">
            <w:pPr>
              <w:pStyle w:val="Heading2"/>
              <w:spacing w:before="0" w:after="0"/>
              <w:jc w:val="right"/>
              <w:outlineLvl w:val="1"/>
              <w:rPr>
                <w:b w:val="0"/>
                <w:i w:val="0"/>
                <w:sz w:val="24"/>
                <w:szCs w:val="24"/>
              </w:rPr>
            </w:pPr>
            <w:r>
              <w:rPr>
                <w:b w:val="0"/>
                <w:i w:val="0"/>
                <w:sz w:val="24"/>
                <w:szCs w:val="24"/>
              </w:rPr>
              <w:t>94,59</w:t>
            </w:r>
            <w:r w:rsidR="00FD23EE">
              <w:rPr>
                <w:b w:val="0"/>
                <w:i w:val="0"/>
                <w:sz w:val="24"/>
                <w:szCs w:val="24"/>
              </w:rPr>
              <w:t>2</w:t>
            </w:r>
          </w:p>
        </w:tc>
      </w:tr>
      <w:tr w:rsidR="000B7113" w:rsidRPr="00E34A4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Investment in jointly-controlled entity</w:t>
            </w:r>
          </w:p>
        </w:tc>
        <w:tc>
          <w:tcPr>
            <w:tcW w:w="1607" w:type="dxa"/>
          </w:tcPr>
          <w:p w:rsidR="000B7113" w:rsidRPr="00E34A43" w:rsidRDefault="000B7113" w:rsidP="000A3DAD">
            <w:pPr>
              <w:jc w:val="right"/>
              <w:rPr>
                <w:sz w:val="24"/>
                <w:szCs w:val="24"/>
              </w:rPr>
            </w:pPr>
          </w:p>
          <w:p w:rsidR="000B7113" w:rsidRPr="00E34A43" w:rsidRDefault="000B7113" w:rsidP="00C85DDA">
            <w:pPr>
              <w:jc w:val="right"/>
              <w:rPr>
                <w:sz w:val="24"/>
                <w:szCs w:val="24"/>
              </w:rPr>
            </w:pPr>
            <w:r>
              <w:rPr>
                <w:sz w:val="24"/>
                <w:szCs w:val="24"/>
              </w:rPr>
              <w:t>2,6</w:t>
            </w:r>
            <w:r w:rsidR="00C85DDA">
              <w:rPr>
                <w:sz w:val="24"/>
                <w:szCs w:val="24"/>
              </w:rPr>
              <w:t>15</w:t>
            </w:r>
          </w:p>
        </w:tc>
        <w:tc>
          <w:tcPr>
            <w:tcW w:w="1984" w:type="dxa"/>
          </w:tcPr>
          <w:p w:rsidR="000B7113" w:rsidRDefault="000B7113" w:rsidP="000A3DAD">
            <w:pPr>
              <w:pStyle w:val="Heading2"/>
              <w:spacing w:before="0" w:after="0"/>
              <w:jc w:val="right"/>
              <w:outlineLvl w:val="1"/>
              <w:rPr>
                <w:b w:val="0"/>
                <w:i w:val="0"/>
                <w:sz w:val="24"/>
                <w:szCs w:val="24"/>
              </w:rPr>
            </w:pPr>
          </w:p>
          <w:p w:rsidR="000B7113" w:rsidRPr="00E34A43" w:rsidRDefault="000B7113" w:rsidP="000A3DAD">
            <w:pPr>
              <w:jc w:val="right"/>
              <w:rPr>
                <w:sz w:val="24"/>
                <w:szCs w:val="24"/>
              </w:rPr>
            </w:pPr>
            <w:r>
              <w:rPr>
                <w:sz w:val="24"/>
                <w:szCs w:val="24"/>
              </w:rPr>
              <w:t>-</w:t>
            </w:r>
          </w:p>
        </w:tc>
        <w:tc>
          <w:tcPr>
            <w:tcW w:w="1530" w:type="dxa"/>
          </w:tcPr>
          <w:p w:rsidR="000B7113" w:rsidRPr="00E34A43" w:rsidRDefault="000B7113" w:rsidP="000A3DAD">
            <w:pPr>
              <w:pStyle w:val="Heading2"/>
              <w:spacing w:before="0" w:after="0"/>
              <w:jc w:val="right"/>
              <w:outlineLvl w:val="1"/>
              <w:rPr>
                <w:b w:val="0"/>
                <w:i w:val="0"/>
                <w:sz w:val="24"/>
                <w:szCs w:val="24"/>
              </w:rPr>
            </w:pPr>
          </w:p>
          <w:p w:rsidR="000B7113" w:rsidRPr="00E34A43" w:rsidRDefault="000B7113" w:rsidP="00C85DDA">
            <w:pPr>
              <w:jc w:val="right"/>
              <w:rPr>
                <w:sz w:val="24"/>
                <w:szCs w:val="24"/>
              </w:rPr>
            </w:pPr>
            <w:r>
              <w:rPr>
                <w:sz w:val="24"/>
                <w:szCs w:val="24"/>
              </w:rPr>
              <w:t>2,6</w:t>
            </w:r>
            <w:r w:rsidR="00C85DDA">
              <w:rPr>
                <w:sz w:val="24"/>
                <w:szCs w:val="24"/>
              </w:rPr>
              <w:t>15</w:t>
            </w:r>
          </w:p>
        </w:tc>
      </w:tr>
      <w:tr w:rsidR="000B7113" w:rsidRPr="00E34A4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Investment in associates</w:t>
            </w:r>
          </w:p>
        </w:tc>
        <w:tc>
          <w:tcPr>
            <w:tcW w:w="1607" w:type="dxa"/>
          </w:tcPr>
          <w:p w:rsidR="000B7113" w:rsidRPr="00E34A43" w:rsidRDefault="000B7113" w:rsidP="00C85DDA">
            <w:pPr>
              <w:jc w:val="right"/>
              <w:rPr>
                <w:sz w:val="24"/>
                <w:szCs w:val="24"/>
              </w:rPr>
            </w:pPr>
            <w:r>
              <w:rPr>
                <w:sz w:val="24"/>
                <w:szCs w:val="24"/>
              </w:rPr>
              <w:t>2,</w:t>
            </w:r>
            <w:r w:rsidR="00C85DDA">
              <w:rPr>
                <w:sz w:val="24"/>
                <w:szCs w:val="24"/>
              </w:rPr>
              <w:t>588</w:t>
            </w:r>
          </w:p>
        </w:tc>
        <w:tc>
          <w:tcPr>
            <w:tcW w:w="1984" w:type="dxa"/>
          </w:tcPr>
          <w:p w:rsidR="000B7113" w:rsidRPr="00E34A4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Pr="00E34A43" w:rsidRDefault="00C85DDA" w:rsidP="00F77B6E">
            <w:pPr>
              <w:pStyle w:val="Heading2"/>
              <w:spacing w:before="0" w:after="0"/>
              <w:jc w:val="right"/>
              <w:outlineLvl w:val="1"/>
              <w:rPr>
                <w:b w:val="0"/>
                <w:i w:val="0"/>
                <w:sz w:val="24"/>
                <w:szCs w:val="24"/>
              </w:rPr>
            </w:pPr>
            <w:r>
              <w:rPr>
                <w:b w:val="0"/>
                <w:i w:val="0"/>
                <w:sz w:val="24"/>
                <w:szCs w:val="24"/>
              </w:rPr>
              <w:t>2,588</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Other investment</w:t>
            </w:r>
          </w:p>
        </w:tc>
        <w:tc>
          <w:tcPr>
            <w:tcW w:w="1607" w:type="dxa"/>
          </w:tcPr>
          <w:p w:rsidR="000B7113" w:rsidRDefault="000B7113" w:rsidP="000A3DAD">
            <w:pPr>
              <w:jc w:val="right"/>
              <w:rPr>
                <w:sz w:val="24"/>
                <w:szCs w:val="24"/>
              </w:rPr>
            </w:pPr>
            <w:r>
              <w:rPr>
                <w:sz w:val="24"/>
                <w:szCs w:val="24"/>
              </w:rPr>
              <w:t>652</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0B7113" w:rsidP="000A3DAD">
            <w:pPr>
              <w:pStyle w:val="Heading2"/>
              <w:spacing w:before="0" w:after="0"/>
              <w:jc w:val="right"/>
              <w:outlineLvl w:val="1"/>
              <w:rPr>
                <w:b w:val="0"/>
                <w:i w:val="0"/>
                <w:sz w:val="24"/>
                <w:szCs w:val="24"/>
              </w:rPr>
            </w:pPr>
            <w:r>
              <w:rPr>
                <w:b w:val="0"/>
                <w:i w:val="0"/>
                <w:sz w:val="24"/>
                <w:szCs w:val="24"/>
              </w:rPr>
              <w:t>652</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r>
              <w:rPr>
                <w:b w:val="0"/>
                <w:i w:val="0"/>
                <w:sz w:val="24"/>
                <w:szCs w:val="24"/>
              </w:rPr>
              <w:t>Deferred tax assets</w:t>
            </w:r>
          </w:p>
        </w:tc>
        <w:tc>
          <w:tcPr>
            <w:tcW w:w="1607" w:type="dxa"/>
            <w:tcBorders>
              <w:bottom w:val="single" w:sz="4" w:space="0" w:color="auto"/>
            </w:tcBorders>
          </w:tcPr>
          <w:p w:rsidR="000B7113" w:rsidRDefault="00C85DDA" w:rsidP="00C85DDA">
            <w:pPr>
              <w:jc w:val="right"/>
              <w:rPr>
                <w:sz w:val="24"/>
                <w:szCs w:val="24"/>
              </w:rPr>
            </w:pPr>
            <w:r>
              <w:rPr>
                <w:sz w:val="24"/>
                <w:szCs w:val="24"/>
              </w:rPr>
              <w:t>855</w:t>
            </w:r>
          </w:p>
        </w:tc>
        <w:tc>
          <w:tcPr>
            <w:tcW w:w="1984" w:type="dxa"/>
            <w:tcBorders>
              <w:bottom w:val="single" w:sz="4" w:space="0" w:color="auto"/>
            </w:tcBorders>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0B7113" w:rsidRDefault="00C85DDA" w:rsidP="00F77B6E">
            <w:pPr>
              <w:pStyle w:val="Heading2"/>
              <w:spacing w:before="0" w:after="0"/>
              <w:jc w:val="right"/>
              <w:outlineLvl w:val="1"/>
              <w:rPr>
                <w:b w:val="0"/>
                <w:i w:val="0"/>
                <w:sz w:val="24"/>
                <w:szCs w:val="24"/>
              </w:rPr>
            </w:pPr>
            <w:r>
              <w:rPr>
                <w:b w:val="0"/>
                <w:i w:val="0"/>
                <w:sz w:val="24"/>
                <w:szCs w:val="24"/>
              </w:rPr>
              <w:t>855</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0B7113" w:rsidRDefault="00EB5A43" w:rsidP="00EB5A43">
            <w:pPr>
              <w:jc w:val="right"/>
              <w:rPr>
                <w:sz w:val="24"/>
                <w:szCs w:val="24"/>
              </w:rPr>
            </w:pPr>
            <w:r>
              <w:rPr>
                <w:sz w:val="24"/>
                <w:szCs w:val="24"/>
              </w:rPr>
              <w:t>325,004</w:t>
            </w:r>
          </w:p>
        </w:tc>
        <w:tc>
          <w:tcPr>
            <w:tcW w:w="1984" w:type="dxa"/>
            <w:tcBorders>
              <w:top w:val="single" w:sz="4" w:space="0" w:color="auto"/>
              <w:bottom w:val="single" w:sz="4" w:space="0" w:color="auto"/>
            </w:tcBorders>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B7113" w:rsidRDefault="00EB5A43" w:rsidP="00EB5A43">
            <w:pPr>
              <w:pStyle w:val="Heading2"/>
              <w:spacing w:before="0" w:after="0"/>
              <w:jc w:val="right"/>
              <w:outlineLvl w:val="1"/>
              <w:rPr>
                <w:b w:val="0"/>
                <w:i w:val="0"/>
                <w:sz w:val="24"/>
                <w:szCs w:val="24"/>
              </w:rPr>
            </w:pPr>
            <w:r>
              <w:rPr>
                <w:b w:val="0"/>
                <w:i w:val="0"/>
                <w:sz w:val="24"/>
                <w:szCs w:val="24"/>
              </w:rPr>
              <w:t>325,004</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p>
        </w:tc>
        <w:tc>
          <w:tcPr>
            <w:tcW w:w="1607" w:type="dxa"/>
            <w:tcBorders>
              <w:top w:val="single" w:sz="4" w:space="0" w:color="auto"/>
            </w:tcBorders>
          </w:tcPr>
          <w:p w:rsidR="000B7113" w:rsidRDefault="000B7113" w:rsidP="000A3DAD">
            <w:pPr>
              <w:jc w:val="right"/>
              <w:rPr>
                <w:sz w:val="24"/>
                <w:szCs w:val="24"/>
              </w:rPr>
            </w:pPr>
          </w:p>
        </w:tc>
        <w:tc>
          <w:tcPr>
            <w:tcW w:w="1984"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c>
          <w:tcPr>
            <w:tcW w:w="1530"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Pr="00E34A43" w:rsidRDefault="000B7113" w:rsidP="000A3DAD">
            <w:pPr>
              <w:pStyle w:val="Heading2"/>
              <w:spacing w:before="0" w:after="0"/>
              <w:jc w:val="both"/>
              <w:outlineLvl w:val="1"/>
              <w:rPr>
                <w:i w:val="0"/>
                <w:sz w:val="24"/>
                <w:szCs w:val="24"/>
              </w:rPr>
            </w:pPr>
            <w:r w:rsidRPr="00E34A43">
              <w:rPr>
                <w:i w:val="0"/>
                <w:sz w:val="24"/>
                <w:szCs w:val="24"/>
              </w:rPr>
              <w:t>Current assets</w:t>
            </w:r>
          </w:p>
        </w:tc>
        <w:tc>
          <w:tcPr>
            <w:tcW w:w="1607" w:type="dxa"/>
          </w:tcPr>
          <w:p w:rsidR="000B7113" w:rsidRDefault="000B7113" w:rsidP="000A3DAD">
            <w:pPr>
              <w:jc w:val="right"/>
              <w:rPr>
                <w:sz w:val="24"/>
                <w:szCs w:val="24"/>
              </w:rPr>
            </w:pPr>
          </w:p>
        </w:tc>
        <w:tc>
          <w:tcPr>
            <w:tcW w:w="1984" w:type="dxa"/>
          </w:tcPr>
          <w:p w:rsidR="000B7113" w:rsidRDefault="000B7113" w:rsidP="000A3DAD">
            <w:pPr>
              <w:pStyle w:val="Heading2"/>
              <w:spacing w:before="0" w:after="0"/>
              <w:jc w:val="right"/>
              <w:outlineLvl w:val="1"/>
              <w:rPr>
                <w:b w:val="0"/>
                <w:i w:val="0"/>
                <w:sz w:val="24"/>
                <w:szCs w:val="24"/>
              </w:rPr>
            </w:pPr>
          </w:p>
        </w:tc>
        <w:tc>
          <w:tcPr>
            <w:tcW w:w="1530" w:type="dxa"/>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Pr="00E34A43" w:rsidRDefault="000B7113" w:rsidP="000A3DAD">
            <w:pPr>
              <w:pStyle w:val="Heading2"/>
              <w:spacing w:before="0" w:after="0"/>
              <w:jc w:val="both"/>
              <w:outlineLvl w:val="1"/>
              <w:rPr>
                <w:b w:val="0"/>
                <w:i w:val="0"/>
                <w:sz w:val="24"/>
                <w:szCs w:val="24"/>
              </w:rPr>
            </w:pPr>
            <w:r>
              <w:rPr>
                <w:b w:val="0"/>
                <w:i w:val="0"/>
                <w:sz w:val="24"/>
                <w:szCs w:val="24"/>
              </w:rPr>
              <w:t>Property development cost</w:t>
            </w:r>
          </w:p>
        </w:tc>
        <w:tc>
          <w:tcPr>
            <w:tcW w:w="1607" w:type="dxa"/>
          </w:tcPr>
          <w:p w:rsidR="000B7113" w:rsidRDefault="000B7113" w:rsidP="000A3DAD">
            <w:pPr>
              <w:jc w:val="right"/>
              <w:rPr>
                <w:sz w:val="24"/>
                <w:szCs w:val="24"/>
              </w:rPr>
            </w:pPr>
            <w:r>
              <w:rPr>
                <w:sz w:val="24"/>
                <w:szCs w:val="24"/>
              </w:rPr>
              <w:t>-</w:t>
            </w:r>
          </w:p>
        </w:tc>
        <w:tc>
          <w:tcPr>
            <w:tcW w:w="1984"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Pr>
          <w:p w:rsidR="000B7113" w:rsidRDefault="000B7113" w:rsidP="000A3DAD">
            <w:pPr>
              <w:pStyle w:val="Heading2"/>
              <w:spacing w:before="0" w:after="0"/>
              <w:jc w:val="right"/>
              <w:outlineLvl w:val="1"/>
              <w:rPr>
                <w:b w:val="0"/>
                <w:i w:val="0"/>
                <w:sz w:val="24"/>
                <w:szCs w:val="24"/>
              </w:rPr>
            </w:pPr>
            <w:r>
              <w:rPr>
                <w:b w:val="0"/>
                <w:i w:val="0"/>
                <w:sz w:val="24"/>
                <w:szCs w:val="24"/>
              </w:rPr>
              <w:t>-</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Inventories</w:t>
            </w:r>
          </w:p>
        </w:tc>
        <w:tc>
          <w:tcPr>
            <w:tcW w:w="1607" w:type="dxa"/>
          </w:tcPr>
          <w:p w:rsidR="000A3DAD" w:rsidRDefault="00EB5A43" w:rsidP="000A3DAD">
            <w:pPr>
              <w:jc w:val="right"/>
              <w:rPr>
                <w:sz w:val="24"/>
                <w:szCs w:val="24"/>
              </w:rPr>
            </w:pPr>
            <w:r>
              <w:rPr>
                <w:sz w:val="24"/>
                <w:szCs w:val="24"/>
              </w:rPr>
              <w:t>2,370</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EB5A43" w:rsidP="000A3DAD">
            <w:pPr>
              <w:jc w:val="right"/>
              <w:rPr>
                <w:sz w:val="24"/>
                <w:szCs w:val="24"/>
              </w:rPr>
            </w:pPr>
            <w:r>
              <w:rPr>
                <w:sz w:val="24"/>
                <w:szCs w:val="24"/>
              </w:rPr>
              <w:t>2,370</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Trade and other receivables</w:t>
            </w:r>
          </w:p>
        </w:tc>
        <w:tc>
          <w:tcPr>
            <w:tcW w:w="1607" w:type="dxa"/>
          </w:tcPr>
          <w:p w:rsidR="000A3DAD" w:rsidRDefault="00EB5A43" w:rsidP="00C33D0A">
            <w:pPr>
              <w:jc w:val="right"/>
              <w:rPr>
                <w:sz w:val="24"/>
                <w:szCs w:val="24"/>
              </w:rPr>
            </w:pPr>
            <w:r>
              <w:rPr>
                <w:sz w:val="24"/>
                <w:szCs w:val="24"/>
              </w:rPr>
              <w:t>113,647</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EB5A43" w:rsidP="00C33D0A">
            <w:pPr>
              <w:jc w:val="right"/>
              <w:rPr>
                <w:sz w:val="24"/>
                <w:szCs w:val="24"/>
              </w:rPr>
            </w:pPr>
            <w:r>
              <w:rPr>
                <w:sz w:val="24"/>
                <w:szCs w:val="24"/>
              </w:rPr>
              <w:t>113,647</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Other current assets</w:t>
            </w:r>
          </w:p>
        </w:tc>
        <w:tc>
          <w:tcPr>
            <w:tcW w:w="1607" w:type="dxa"/>
          </w:tcPr>
          <w:p w:rsidR="000A3DAD" w:rsidRDefault="00EB5A43" w:rsidP="000A3DAD">
            <w:pPr>
              <w:jc w:val="right"/>
              <w:rPr>
                <w:sz w:val="24"/>
                <w:szCs w:val="24"/>
              </w:rPr>
            </w:pPr>
            <w:r>
              <w:rPr>
                <w:sz w:val="24"/>
                <w:szCs w:val="24"/>
              </w:rPr>
              <w:t>26,217</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EB5A43" w:rsidP="00C33D0A">
            <w:pPr>
              <w:jc w:val="right"/>
              <w:rPr>
                <w:sz w:val="24"/>
                <w:szCs w:val="24"/>
              </w:rPr>
            </w:pPr>
            <w:r>
              <w:rPr>
                <w:sz w:val="24"/>
                <w:szCs w:val="24"/>
              </w:rPr>
              <w:t>26,217</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Cash and bank balance</w:t>
            </w:r>
          </w:p>
        </w:tc>
        <w:tc>
          <w:tcPr>
            <w:tcW w:w="1607" w:type="dxa"/>
            <w:tcBorders>
              <w:bottom w:val="single" w:sz="4" w:space="0" w:color="auto"/>
            </w:tcBorders>
          </w:tcPr>
          <w:p w:rsidR="000A3DAD" w:rsidRDefault="00EB5A43" w:rsidP="000A3DAD">
            <w:pPr>
              <w:jc w:val="right"/>
              <w:rPr>
                <w:sz w:val="24"/>
                <w:szCs w:val="24"/>
              </w:rPr>
            </w:pPr>
            <w:r>
              <w:rPr>
                <w:sz w:val="24"/>
                <w:szCs w:val="24"/>
              </w:rPr>
              <w:t>29,711</w:t>
            </w:r>
          </w:p>
        </w:tc>
        <w:tc>
          <w:tcPr>
            <w:tcW w:w="1984" w:type="dxa"/>
            <w:tcBorders>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0A3DAD" w:rsidRDefault="00EB5A43" w:rsidP="000A3DAD">
            <w:pPr>
              <w:jc w:val="right"/>
              <w:rPr>
                <w:sz w:val="24"/>
                <w:szCs w:val="24"/>
              </w:rPr>
            </w:pPr>
            <w:r>
              <w:rPr>
                <w:sz w:val="24"/>
                <w:szCs w:val="24"/>
              </w:rPr>
              <w:t>29,711</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0A3DAD" w:rsidRDefault="00EB5A43" w:rsidP="00C33D0A">
            <w:pPr>
              <w:jc w:val="right"/>
              <w:rPr>
                <w:sz w:val="24"/>
                <w:szCs w:val="24"/>
              </w:rPr>
            </w:pPr>
            <w:r>
              <w:rPr>
                <w:sz w:val="24"/>
                <w:szCs w:val="24"/>
              </w:rPr>
              <w:t>171,945</w:t>
            </w:r>
          </w:p>
        </w:tc>
        <w:tc>
          <w:tcPr>
            <w:tcW w:w="1984" w:type="dxa"/>
            <w:tcBorders>
              <w:top w:val="single" w:sz="4" w:space="0" w:color="auto"/>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A3DAD" w:rsidRDefault="00EB5A43" w:rsidP="00C33D0A">
            <w:pPr>
              <w:jc w:val="right"/>
              <w:rPr>
                <w:sz w:val="24"/>
                <w:szCs w:val="24"/>
              </w:rPr>
            </w:pPr>
            <w:r>
              <w:rPr>
                <w:sz w:val="24"/>
                <w:szCs w:val="24"/>
              </w:rPr>
              <w:t>171,945</w:t>
            </w:r>
          </w:p>
        </w:tc>
      </w:tr>
      <w:tr w:rsidR="000B7113" w:rsidTr="000A3DAD">
        <w:tc>
          <w:tcPr>
            <w:tcW w:w="3496" w:type="dxa"/>
          </w:tcPr>
          <w:p w:rsidR="000B7113" w:rsidRPr="00E34A43" w:rsidRDefault="000B7113" w:rsidP="000A3DAD">
            <w:pPr>
              <w:pStyle w:val="Heading2"/>
              <w:spacing w:before="0" w:after="0"/>
              <w:jc w:val="both"/>
              <w:outlineLvl w:val="1"/>
              <w:rPr>
                <w:i w:val="0"/>
                <w:sz w:val="24"/>
                <w:szCs w:val="24"/>
              </w:rPr>
            </w:pPr>
            <w:r>
              <w:rPr>
                <w:i w:val="0"/>
                <w:sz w:val="24"/>
                <w:szCs w:val="24"/>
              </w:rPr>
              <w:t>TOTAL ASSETS</w:t>
            </w:r>
          </w:p>
        </w:tc>
        <w:tc>
          <w:tcPr>
            <w:tcW w:w="1607" w:type="dxa"/>
            <w:tcBorders>
              <w:top w:val="single" w:sz="4" w:space="0" w:color="auto"/>
              <w:bottom w:val="single" w:sz="4" w:space="0" w:color="auto"/>
            </w:tcBorders>
          </w:tcPr>
          <w:p w:rsidR="000B7113" w:rsidRDefault="00EB5A43" w:rsidP="00C33D0A">
            <w:pPr>
              <w:jc w:val="right"/>
              <w:rPr>
                <w:sz w:val="24"/>
                <w:szCs w:val="24"/>
              </w:rPr>
            </w:pPr>
            <w:r>
              <w:rPr>
                <w:sz w:val="24"/>
                <w:szCs w:val="24"/>
              </w:rPr>
              <w:t>496,949</w:t>
            </w:r>
          </w:p>
        </w:tc>
        <w:tc>
          <w:tcPr>
            <w:tcW w:w="1984" w:type="dxa"/>
            <w:tcBorders>
              <w:top w:val="single" w:sz="4" w:space="0" w:color="auto"/>
              <w:bottom w:val="single" w:sz="4" w:space="0" w:color="auto"/>
            </w:tcBorders>
          </w:tcPr>
          <w:p w:rsidR="000B7113" w:rsidRDefault="000B7113"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B7113" w:rsidRPr="000A3DAD" w:rsidRDefault="00EB5A43" w:rsidP="00C33D0A">
            <w:pPr>
              <w:pStyle w:val="Heading2"/>
              <w:spacing w:before="0" w:after="0"/>
              <w:jc w:val="right"/>
              <w:outlineLvl w:val="1"/>
              <w:rPr>
                <w:b w:val="0"/>
                <w:i w:val="0"/>
                <w:sz w:val="24"/>
                <w:szCs w:val="24"/>
              </w:rPr>
            </w:pPr>
            <w:r>
              <w:rPr>
                <w:b w:val="0"/>
                <w:i w:val="0"/>
                <w:sz w:val="24"/>
                <w:szCs w:val="24"/>
              </w:rPr>
              <w:t>496,949</w:t>
            </w:r>
          </w:p>
        </w:tc>
      </w:tr>
      <w:tr w:rsidR="000B7113" w:rsidTr="000A3DAD">
        <w:tc>
          <w:tcPr>
            <w:tcW w:w="3496" w:type="dxa"/>
          </w:tcPr>
          <w:p w:rsidR="000B7113" w:rsidRDefault="000B7113" w:rsidP="000A3DAD">
            <w:pPr>
              <w:pStyle w:val="Heading2"/>
              <w:spacing w:before="0" w:after="0"/>
              <w:jc w:val="both"/>
              <w:outlineLvl w:val="1"/>
              <w:rPr>
                <w:i w:val="0"/>
                <w:sz w:val="24"/>
                <w:szCs w:val="24"/>
              </w:rPr>
            </w:pPr>
          </w:p>
        </w:tc>
        <w:tc>
          <w:tcPr>
            <w:tcW w:w="1607" w:type="dxa"/>
            <w:tcBorders>
              <w:top w:val="single" w:sz="4" w:space="0" w:color="auto"/>
            </w:tcBorders>
          </w:tcPr>
          <w:p w:rsidR="000B7113" w:rsidRDefault="000B7113" w:rsidP="000A3DAD">
            <w:pPr>
              <w:jc w:val="right"/>
              <w:rPr>
                <w:sz w:val="24"/>
                <w:szCs w:val="24"/>
              </w:rPr>
            </w:pPr>
          </w:p>
        </w:tc>
        <w:tc>
          <w:tcPr>
            <w:tcW w:w="1984"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c>
          <w:tcPr>
            <w:tcW w:w="1530"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Pr="00E34A43" w:rsidRDefault="000B7113" w:rsidP="000A3DAD">
            <w:pPr>
              <w:pStyle w:val="Heading2"/>
              <w:spacing w:before="0" w:after="0"/>
              <w:jc w:val="both"/>
              <w:outlineLvl w:val="1"/>
              <w:rPr>
                <w:i w:val="0"/>
                <w:sz w:val="24"/>
                <w:szCs w:val="24"/>
              </w:rPr>
            </w:pPr>
            <w:r>
              <w:rPr>
                <w:i w:val="0"/>
                <w:sz w:val="24"/>
                <w:szCs w:val="24"/>
              </w:rPr>
              <w:t>LIABILITIES</w:t>
            </w:r>
          </w:p>
        </w:tc>
        <w:tc>
          <w:tcPr>
            <w:tcW w:w="1607" w:type="dxa"/>
          </w:tcPr>
          <w:p w:rsidR="000B7113" w:rsidRDefault="000B7113" w:rsidP="000A3DAD">
            <w:pPr>
              <w:jc w:val="right"/>
              <w:rPr>
                <w:sz w:val="24"/>
                <w:szCs w:val="24"/>
              </w:rPr>
            </w:pPr>
          </w:p>
        </w:tc>
        <w:tc>
          <w:tcPr>
            <w:tcW w:w="1984" w:type="dxa"/>
          </w:tcPr>
          <w:p w:rsidR="000B7113" w:rsidRDefault="000B7113" w:rsidP="000A3DAD">
            <w:pPr>
              <w:pStyle w:val="Heading2"/>
              <w:spacing w:before="0" w:after="0"/>
              <w:jc w:val="right"/>
              <w:outlineLvl w:val="1"/>
              <w:rPr>
                <w:b w:val="0"/>
                <w:i w:val="0"/>
                <w:sz w:val="24"/>
                <w:szCs w:val="24"/>
              </w:rPr>
            </w:pPr>
          </w:p>
        </w:tc>
        <w:tc>
          <w:tcPr>
            <w:tcW w:w="1530" w:type="dxa"/>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Default="000B7113" w:rsidP="000A3DAD">
            <w:pPr>
              <w:pStyle w:val="Heading2"/>
              <w:spacing w:before="0" w:after="0"/>
              <w:jc w:val="both"/>
              <w:outlineLvl w:val="1"/>
              <w:rPr>
                <w:i w:val="0"/>
                <w:sz w:val="24"/>
                <w:szCs w:val="24"/>
              </w:rPr>
            </w:pPr>
            <w:r>
              <w:rPr>
                <w:i w:val="0"/>
                <w:sz w:val="24"/>
                <w:szCs w:val="24"/>
              </w:rPr>
              <w:t>Current liabilities</w:t>
            </w:r>
          </w:p>
        </w:tc>
        <w:tc>
          <w:tcPr>
            <w:tcW w:w="1607" w:type="dxa"/>
          </w:tcPr>
          <w:p w:rsidR="000B7113" w:rsidRDefault="000B7113" w:rsidP="000A3DAD">
            <w:pPr>
              <w:jc w:val="right"/>
              <w:rPr>
                <w:sz w:val="24"/>
                <w:szCs w:val="24"/>
              </w:rPr>
            </w:pPr>
          </w:p>
        </w:tc>
        <w:tc>
          <w:tcPr>
            <w:tcW w:w="1984" w:type="dxa"/>
          </w:tcPr>
          <w:p w:rsidR="000B7113" w:rsidRDefault="000B7113" w:rsidP="000A3DAD">
            <w:pPr>
              <w:pStyle w:val="Heading2"/>
              <w:spacing w:before="0" w:after="0"/>
              <w:jc w:val="right"/>
              <w:outlineLvl w:val="1"/>
              <w:rPr>
                <w:b w:val="0"/>
                <w:i w:val="0"/>
                <w:sz w:val="24"/>
                <w:szCs w:val="24"/>
              </w:rPr>
            </w:pPr>
          </w:p>
        </w:tc>
        <w:tc>
          <w:tcPr>
            <w:tcW w:w="1530" w:type="dxa"/>
          </w:tcPr>
          <w:p w:rsidR="000B7113" w:rsidRDefault="000B7113" w:rsidP="000A3DAD">
            <w:pPr>
              <w:pStyle w:val="Heading2"/>
              <w:spacing w:before="0" w:after="0"/>
              <w:jc w:val="right"/>
              <w:outlineLvl w:val="1"/>
              <w:rPr>
                <w:b w:val="0"/>
                <w:i w:val="0"/>
                <w:sz w:val="24"/>
                <w:szCs w:val="24"/>
              </w:rPr>
            </w:pPr>
          </w:p>
        </w:tc>
      </w:tr>
      <w:tr w:rsidR="000A3DAD" w:rsidTr="000A3DAD">
        <w:tc>
          <w:tcPr>
            <w:tcW w:w="3496" w:type="dxa"/>
          </w:tcPr>
          <w:p w:rsidR="000A3DAD" w:rsidRPr="00E34A43" w:rsidRDefault="000A3DAD" w:rsidP="000A3DAD">
            <w:pPr>
              <w:pStyle w:val="Heading2"/>
              <w:spacing w:before="0" w:after="0"/>
              <w:jc w:val="both"/>
              <w:outlineLvl w:val="1"/>
              <w:rPr>
                <w:b w:val="0"/>
                <w:i w:val="0"/>
                <w:sz w:val="24"/>
                <w:szCs w:val="24"/>
              </w:rPr>
            </w:pPr>
            <w:r>
              <w:rPr>
                <w:b w:val="0"/>
                <w:i w:val="0"/>
                <w:sz w:val="24"/>
                <w:szCs w:val="24"/>
              </w:rPr>
              <w:t>Loans and borrowings</w:t>
            </w:r>
          </w:p>
        </w:tc>
        <w:tc>
          <w:tcPr>
            <w:tcW w:w="1607" w:type="dxa"/>
          </w:tcPr>
          <w:p w:rsidR="000A3DAD" w:rsidRDefault="00373C1D" w:rsidP="006A15AF">
            <w:pPr>
              <w:jc w:val="right"/>
              <w:rPr>
                <w:sz w:val="24"/>
                <w:szCs w:val="24"/>
              </w:rPr>
            </w:pPr>
            <w:r>
              <w:rPr>
                <w:sz w:val="24"/>
                <w:szCs w:val="24"/>
              </w:rPr>
              <w:t>4</w:t>
            </w:r>
            <w:r w:rsidR="006A15AF">
              <w:rPr>
                <w:sz w:val="24"/>
                <w:szCs w:val="24"/>
              </w:rPr>
              <w:t>4,413</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6A15AF" w:rsidP="000A3DAD">
            <w:pPr>
              <w:jc w:val="right"/>
              <w:rPr>
                <w:sz w:val="24"/>
                <w:szCs w:val="24"/>
              </w:rPr>
            </w:pPr>
            <w:r>
              <w:rPr>
                <w:sz w:val="24"/>
                <w:szCs w:val="24"/>
              </w:rPr>
              <w:t>44,413</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Trade and other payables</w:t>
            </w:r>
          </w:p>
        </w:tc>
        <w:tc>
          <w:tcPr>
            <w:tcW w:w="1607" w:type="dxa"/>
          </w:tcPr>
          <w:p w:rsidR="000A3DAD" w:rsidRDefault="006A15AF" w:rsidP="000A3DAD">
            <w:pPr>
              <w:jc w:val="right"/>
              <w:rPr>
                <w:sz w:val="24"/>
                <w:szCs w:val="24"/>
              </w:rPr>
            </w:pPr>
            <w:r>
              <w:rPr>
                <w:sz w:val="24"/>
                <w:szCs w:val="24"/>
              </w:rPr>
              <w:t>83,467</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6A15AF" w:rsidP="000A3DAD">
            <w:pPr>
              <w:jc w:val="right"/>
              <w:rPr>
                <w:sz w:val="24"/>
                <w:szCs w:val="24"/>
              </w:rPr>
            </w:pPr>
            <w:r>
              <w:rPr>
                <w:sz w:val="24"/>
                <w:szCs w:val="24"/>
              </w:rPr>
              <w:t>83,467</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Other current liabilities</w:t>
            </w:r>
          </w:p>
        </w:tc>
        <w:tc>
          <w:tcPr>
            <w:tcW w:w="1607" w:type="dxa"/>
          </w:tcPr>
          <w:p w:rsidR="000A3DAD" w:rsidRDefault="006A15AF" w:rsidP="000A3DAD">
            <w:pPr>
              <w:jc w:val="right"/>
              <w:rPr>
                <w:sz w:val="24"/>
                <w:szCs w:val="24"/>
              </w:rPr>
            </w:pPr>
            <w:r>
              <w:rPr>
                <w:sz w:val="24"/>
                <w:szCs w:val="24"/>
              </w:rPr>
              <w:t>3,008</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6A15AF" w:rsidP="000A3DAD">
            <w:pPr>
              <w:jc w:val="right"/>
              <w:rPr>
                <w:sz w:val="24"/>
                <w:szCs w:val="24"/>
              </w:rPr>
            </w:pPr>
            <w:r>
              <w:rPr>
                <w:sz w:val="24"/>
                <w:szCs w:val="24"/>
              </w:rPr>
              <w:t>3,008</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Tax payables</w:t>
            </w:r>
          </w:p>
        </w:tc>
        <w:tc>
          <w:tcPr>
            <w:tcW w:w="1607" w:type="dxa"/>
            <w:tcBorders>
              <w:bottom w:val="single" w:sz="4" w:space="0" w:color="auto"/>
            </w:tcBorders>
          </w:tcPr>
          <w:p w:rsidR="000A3DAD" w:rsidRDefault="006A15AF" w:rsidP="00C33D0A">
            <w:pPr>
              <w:jc w:val="right"/>
              <w:rPr>
                <w:sz w:val="24"/>
                <w:szCs w:val="24"/>
              </w:rPr>
            </w:pPr>
            <w:r>
              <w:rPr>
                <w:sz w:val="24"/>
                <w:szCs w:val="24"/>
              </w:rPr>
              <w:t>6,21</w:t>
            </w:r>
            <w:r w:rsidR="00355D50">
              <w:rPr>
                <w:sz w:val="24"/>
                <w:szCs w:val="24"/>
              </w:rPr>
              <w:t>2</w:t>
            </w:r>
          </w:p>
        </w:tc>
        <w:tc>
          <w:tcPr>
            <w:tcW w:w="1984" w:type="dxa"/>
            <w:tcBorders>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0A3DAD" w:rsidRDefault="006A15AF" w:rsidP="00355D50">
            <w:pPr>
              <w:jc w:val="right"/>
              <w:rPr>
                <w:sz w:val="24"/>
                <w:szCs w:val="24"/>
              </w:rPr>
            </w:pPr>
            <w:r>
              <w:rPr>
                <w:sz w:val="24"/>
                <w:szCs w:val="24"/>
              </w:rPr>
              <w:t>6,21</w:t>
            </w:r>
            <w:r w:rsidR="00355D50">
              <w:rPr>
                <w:sz w:val="24"/>
                <w:szCs w:val="24"/>
              </w:rPr>
              <w:t>2</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0A3DAD" w:rsidRDefault="006A15AF" w:rsidP="00355D50">
            <w:pPr>
              <w:jc w:val="right"/>
              <w:rPr>
                <w:sz w:val="24"/>
                <w:szCs w:val="24"/>
              </w:rPr>
            </w:pPr>
            <w:r>
              <w:rPr>
                <w:sz w:val="24"/>
                <w:szCs w:val="24"/>
              </w:rPr>
              <w:t>137,10</w:t>
            </w:r>
            <w:r w:rsidR="00355D50">
              <w:rPr>
                <w:sz w:val="24"/>
                <w:szCs w:val="24"/>
              </w:rPr>
              <w:t>0</w:t>
            </w:r>
          </w:p>
        </w:tc>
        <w:tc>
          <w:tcPr>
            <w:tcW w:w="1984" w:type="dxa"/>
            <w:tcBorders>
              <w:top w:val="single" w:sz="4" w:space="0" w:color="auto"/>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A3DAD" w:rsidRDefault="006A15AF" w:rsidP="00355D50">
            <w:pPr>
              <w:jc w:val="right"/>
              <w:rPr>
                <w:sz w:val="24"/>
                <w:szCs w:val="24"/>
              </w:rPr>
            </w:pPr>
            <w:r>
              <w:rPr>
                <w:sz w:val="24"/>
                <w:szCs w:val="24"/>
              </w:rPr>
              <w:t>137,10</w:t>
            </w:r>
            <w:r w:rsidR="00355D50">
              <w:rPr>
                <w:sz w:val="24"/>
                <w:szCs w:val="24"/>
              </w:rPr>
              <w:t>0</w:t>
            </w:r>
          </w:p>
        </w:tc>
      </w:tr>
      <w:tr w:rsidR="000B7113" w:rsidTr="000A3DAD">
        <w:tc>
          <w:tcPr>
            <w:tcW w:w="3496" w:type="dxa"/>
          </w:tcPr>
          <w:p w:rsidR="000B7113" w:rsidRDefault="000B7113" w:rsidP="000A3DAD">
            <w:pPr>
              <w:pStyle w:val="Heading2"/>
              <w:spacing w:before="0" w:after="0"/>
              <w:jc w:val="both"/>
              <w:outlineLvl w:val="1"/>
              <w:rPr>
                <w:b w:val="0"/>
                <w:i w:val="0"/>
                <w:sz w:val="24"/>
                <w:szCs w:val="24"/>
              </w:rPr>
            </w:pPr>
          </w:p>
        </w:tc>
        <w:tc>
          <w:tcPr>
            <w:tcW w:w="1607" w:type="dxa"/>
            <w:tcBorders>
              <w:top w:val="single" w:sz="4" w:space="0" w:color="auto"/>
            </w:tcBorders>
          </w:tcPr>
          <w:p w:rsidR="000B7113" w:rsidRDefault="000B7113" w:rsidP="000A3DAD">
            <w:pPr>
              <w:jc w:val="right"/>
              <w:rPr>
                <w:sz w:val="24"/>
                <w:szCs w:val="24"/>
              </w:rPr>
            </w:pPr>
          </w:p>
        </w:tc>
        <w:tc>
          <w:tcPr>
            <w:tcW w:w="1984"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c>
          <w:tcPr>
            <w:tcW w:w="1530" w:type="dxa"/>
            <w:tcBorders>
              <w:top w:val="single" w:sz="4" w:space="0" w:color="auto"/>
            </w:tcBorders>
          </w:tcPr>
          <w:p w:rsidR="000B7113" w:rsidRDefault="000B7113" w:rsidP="000A3DAD">
            <w:pPr>
              <w:pStyle w:val="Heading2"/>
              <w:spacing w:before="0" w:after="0"/>
              <w:jc w:val="right"/>
              <w:outlineLvl w:val="1"/>
              <w:rPr>
                <w:b w:val="0"/>
                <w:i w:val="0"/>
                <w:sz w:val="24"/>
                <w:szCs w:val="24"/>
              </w:rPr>
            </w:pPr>
          </w:p>
        </w:tc>
      </w:tr>
      <w:tr w:rsidR="000B7113" w:rsidTr="000A3DAD">
        <w:tc>
          <w:tcPr>
            <w:tcW w:w="3496" w:type="dxa"/>
          </w:tcPr>
          <w:p w:rsidR="000B7113" w:rsidRPr="00E34A43" w:rsidRDefault="000B7113" w:rsidP="000A3DAD">
            <w:pPr>
              <w:pStyle w:val="Heading2"/>
              <w:spacing w:before="0" w:after="0"/>
              <w:jc w:val="both"/>
              <w:outlineLvl w:val="1"/>
              <w:rPr>
                <w:i w:val="0"/>
                <w:sz w:val="24"/>
                <w:szCs w:val="24"/>
              </w:rPr>
            </w:pPr>
            <w:r>
              <w:rPr>
                <w:i w:val="0"/>
                <w:sz w:val="24"/>
                <w:szCs w:val="24"/>
              </w:rPr>
              <w:t>Non-current liabilities</w:t>
            </w:r>
          </w:p>
        </w:tc>
        <w:tc>
          <w:tcPr>
            <w:tcW w:w="1607" w:type="dxa"/>
          </w:tcPr>
          <w:p w:rsidR="000B7113" w:rsidRDefault="000B7113" w:rsidP="000A3DAD">
            <w:pPr>
              <w:jc w:val="right"/>
              <w:rPr>
                <w:sz w:val="24"/>
                <w:szCs w:val="24"/>
              </w:rPr>
            </w:pPr>
          </w:p>
        </w:tc>
        <w:tc>
          <w:tcPr>
            <w:tcW w:w="1984" w:type="dxa"/>
          </w:tcPr>
          <w:p w:rsidR="000B7113" w:rsidRDefault="000B7113" w:rsidP="000A3DAD">
            <w:pPr>
              <w:pStyle w:val="Heading2"/>
              <w:spacing w:before="0" w:after="0"/>
              <w:jc w:val="right"/>
              <w:outlineLvl w:val="1"/>
              <w:rPr>
                <w:b w:val="0"/>
                <w:i w:val="0"/>
                <w:sz w:val="24"/>
                <w:szCs w:val="24"/>
              </w:rPr>
            </w:pPr>
          </w:p>
        </w:tc>
        <w:tc>
          <w:tcPr>
            <w:tcW w:w="1530" w:type="dxa"/>
          </w:tcPr>
          <w:p w:rsidR="000B7113" w:rsidRDefault="000B7113" w:rsidP="000A3DAD">
            <w:pPr>
              <w:pStyle w:val="Heading2"/>
              <w:spacing w:before="0" w:after="0"/>
              <w:jc w:val="right"/>
              <w:outlineLvl w:val="1"/>
              <w:rPr>
                <w:b w:val="0"/>
                <w:i w:val="0"/>
                <w:sz w:val="24"/>
                <w:szCs w:val="24"/>
              </w:rPr>
            </w:pPr>
          </w:p>
        </w:tc>
      </w:tr>
      <w:tr w:rsidR="000A3DAD" w:rsidTr="000A3DAD">
        <w:tc>
          <w:tcPr>
            <w:tcW w:w="3496" w:type="dxa"/>
          </w:tcPr>
          <w:p w:rsidR="000A3DAD" w:rsidRPr="002B2C6A" w:rsidRDefault="000A3DAD" w:rsidP="000A3DAD">
            <w:pPr>
              <w:pStyle w:val="Heading2"/>
              <w:spacing w:before="0" w:after="0"/>
              <w:jc w:val="both"/>
              <w:outlineLvl w:val="1"/>
              <w:rPr>
                <w:b w:val="0"/>
                <w:i w:val="0"/>
                <w:sz w:val="24"/>
                <w:szCs w:val="24"/>
              </w:rPr>
            </w:pPr>
            <w:r>
              <w:rPr>
                <w:b w:val="0"/>
                <w:i w:val="0"/>
                <w:sz w:val="24"/>
                <w:szCs w:val="24"/>
              </w:rPr>
              <w:t>Deferred tax liabilities</w:t>
            </w:r>
          </w:p>
        </w:tc>
        <w:tc>
          <w:tcPr>
            <w:tcW w:w="1607" w:type="dxa"/>
          </w:tcPr>
          <w:p w:rsidR="000A3DAD" w:rsidRDefault="00373C1D" w:rsidP="006A15AF">
            <w:pPr>
              <w:jc w:val="right"/>
              <w:rPr>
                <w:sz w:val="24"/>
                <w:szCs w:val="24"/>
              </w:rPr>
            </w:pPr>
            <w:r>
              <w:rPr>
                <w:sz w:val="24"/>
                <w:szCs w:val="24"/>
              </w:rPr>
              <w:t>9,</w:t>
            </w:r>
            <w:r w:rsidR="006A15AF">
              <w:rPr>
                <w:sz w:val="24"/>
                <w:szCs w:val="24"/>
              </w:rPr>
              <w:t>870</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Pr>
          <w:p w:rsidR="000A3DAD" w:rsidRDefault="006A15AF" w:rsidP="000A3DAD">
            <w:pPr>
              <w:jc w:val="right"/>
              <w:rPr>
                <w:sz w:val="24"/>
                <w:szCs w:val="24"/>
              </w:rPr>
            </w:pPr>
            <w:r>
              <w:rPr>
                <w:sz w:val="24"/>
                <w:szCs w:val="24"/>
              </w:rPr>
              <w:t>9,870</w:t>
            </w:r>
          </w:p>
        </w:tc>
      </w:tr>
      <w:tr w:rsidR="000A3DAD" w:rsidTr="000A3DAD">
        <w:tc>
          <w:tcPr>
            <w:tcW w:w="3496" w:type="dxa"/>
          </w:tcPr>
          <w:p w:rsidR="000A3DAD" w:rsidRDefault="000A3DAD" w:rsidP="000A3DAD">
            <w:pPr>
              <w:pStyle w:val="Heading2"/>
              <w:spacing w:before="0" w:after="0"/>
              <w:jc w:val="both"/>
              <w:outlineLvl w:val="1"/>
              <w:rPr>
                <w:b w:val="0"/>
                <w:i w:val="0"/>
                <w:sz w:val="24"/>
                <w:szCs w:val="24"/>
              </w:rPr>
            </w:pPr>
            <w:r>
              <w:rPr>
                <w:b w:val="0"/>
                <w:i w:val="0"/>
                <w:sz w:val="24"/>
                <w:szCs w:val="24"/>
              </w:rPr>
              <w:t>Loans and borrowings</w:t>
            </w:r>
          </w:p>
        </w:tc>
        <w:tc>
          <w:tcPr>
            <w:tcW w:w="1607" w:type="dxa"/>
            <w:tcBorders>
              <w:bottom w:val="single" w:sz="4" w:space="0" w:color="auto"/>
            </w:tcBorders>
          </w:tcPr>
          <w:p w:rsidR="000A3DAD" w:rsidRDefault="006A15AF" w:rsidP="000A3DAD">
            <w:pPr>
              <w:jc w:val="right"/>
              <w:rPr>
                <w:sz w:val="24"/>
                <w:szCs w:val="24"/>
              </w:rPr>
            </w:pPr>
            <w:r>
              <w:rPr>
                <w:sz w:val="24"/>
                <w:szCs w:val="24"/>
              </w:rPr>
              <w:t>79,277</w:t>
            </w:r>
          </w:p>
        </w:tc>
        <w:tc>
          <w:tcPr>
            <w:tcW w:w="1984" w:type="dxa"/>
            <w:tcBorders>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0A3DAD" w:rsidRDefault="006A15AF" w:rsidP="000A3DAD">
            <w:pPr>
              <w:jc w:val="right"/>
              <w:rPr>
                <w:sz w:val="24"/>
                <w:szCs w:val="24"/>
              </w:rPr>
            </w:pPr>
            <w:r>
              <w:rPr>
                <w:sz w:val="24"/>
                <w:szCs w:val="24"/>
              </w:rPr>
              <w:t>79,277</w:t>
            </w:r>
          </w:p>
        </w:tc>
      </w:tr>
      <w:tr w:rsidR="000A3DAD" w:rsidTr="000A3DAD">
        <w:tc>
          <w:tcPr>
            <w:tcW w:w="3496" w:type="dxa"/>
          </w:tcPr>
          <w:p w:rsidR="000A3DAD" w:rsidRPr="002B2C6A" w:rsidRDefault="000A3DAD" w:rsidP="000A3DAD">
            <w:pPr>
              <w:pStyle w:val="Heading2"/>
              <w:spacing w:before="0" w:after="0"/>
              <w:jc w:val="both"/>
              <w:outlineLvl w:val="1"/>
              <w:rPr>
                <w:i w:val="0"/>
                <w:sz w:val="24"/>
                <w:szCs w:val="24"/>
              </w:rPr>
            </w:pPr>
          </w:p>
        </w:tc>
        <w:tc>
          <w:tcPr>
            <w:tcW w:w="1607" w:type="dxa"/>
            <w:tcBorders>
              <w:top w:val="single" w:sz="4" w:space="0" w:color="auto"/>
              <w:bottom w:val="single" w:sz="4" w:space="0" w:color="auto"/>
            </w:tcBorders>
          </w:tcPr>
          <w:p w:rsidR="000A3DAD" w:rsidRDefault="006A15AF" w:rsidP="000A3DAD">
            <w:pPr>
              <w:jc w:val="right"/>
              <w:rPr>
                <w:sz w:val="24"/>
                <w:szCs w:val="24"/>
              </w:rPr>
            </w:pPr>
            <w:r>
              <w:rPr>
                <w:sz w:val="24"/>
                <w:szCs w:val="24"/>
              </w:rPr>
              <w:t>89,147</w:t>
            </w:r>
          </w:p>
        </w:tc>
        <w:tc>
          <w:tcPr>
            <w:tcW w:w="1984" w:type="dxa"/>
            <w:tcBorders>
              <w:top w:val="single" w:sz="4" w:space="0" w:color="auto"/>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A3DAD" w:rsidRDefault="006A15AF" w:rsidP="000A3DAD">
            <w:pPr>
              <w:jc w:val="right"/>
              <w:rPr>
                <w:sz w:val="24"/>
                <w:szCs w:val="24"/>
              </w:rPr>
            </w:pPr>
            <w:r>
              <w:rPr>
                <w:sz w:val="24"/>
                <w:szCs w:val="24"/>
              </w:rPr>
              <w:t>89,147</w:t>
            </w:r>
          </w:p>
        </w:tc>
      </w:tr>
      <w:tr w:rsidR="000A3DAD" w:rsidTr="000A3DAD">
        <w:tc>
          <w:tcPr>
            <w:tcW w:w="3496" w:type="dxa"/>
          </w:tcPr>
          <w:p w:rsidR="000A3DAD" w:rsidRPr="002B2C6A" w:rsidRDefault="000A3DAD" w:rsidP="000A3DAD">
            <w:pPr>
              <w:pStyle w:val="Heading2"/>
              <w:spacing w:before="0" w:after="0"/>
              <w:jc w:val="both"/>
              <w:outlineLvl w:val="1"/>
              <w:rPr>
                <w:i w:val="0"/>
                <w:sz w:val="24"/>
                <w:szCs w:val="24"/>
              </w:rPr>
            </w:pPr>
            <w:r>
              <w:rPr>
                <w:i w:val="0"/>
                <w:sz w:val="24"/>
                <w:szCs w:val="24"/>
              </w:rPr>
              <w:t>TOTAL LIABILITIES</w:t>
            </w:r>
          </w:p>
        </w:tc>
        <w:tc>
          <w:tcPr>
            <w:tcW w:w="1607" w:type="dxa"/>
            <w:tcBorders>
              <w:top w:val="single" w:sz="4" w:space="0" w:color="auto"/>
              <w:bottom w:val="single" w:sz="4" w:space="0" w:color="auto"/>
            </w:tcBorders>
          </w:tcPr>
          <w:p w:rsidR="000A3DAD" w:rsidRDefault="006A15AF" w:rsidP="00355D50">
            <w:pPr>
              <w:jc w:val="right"/>
              <w:rPr>
                <w:sz w:val="24"/>
                <w:szCs w:val="24"/>
              </w:rPr>
            </w:pPr>
            <w:r>
              <w:rPr>
                <w:sz w:val="24"/>
                <w:szCs w:val="24"/>
              </w:rPr>
              <w:t>226,24</w:t>
            </w:r>
            <w:r w:rsidR="00355D50">
              <w:rPr>
                <w:sz w:val="24"/>
                <w:szCs w:val="24"/>
              </w:rPr>
              <w:t>7</w:t>
            </w:r>
          </w:p>
        </w:tc>
        <w:tc>
          <w:tcPr>
            <w:tcW w:w="1984" w:type="dxa"/>
            <w:tcBorders>
              <w:top w:val="single" w:sz="4" w:space="0" w:color="auto"/>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A3DAD" w:rsidRDefault="006A15AF" w:rsidP="006A15AF">
            <w:pPr>
              <w:jc w:val="right"/>
              <w:rPr>
                <w:sz w:val="24"/>
                <w:szCs w:val="24"/>
              </w:rPr>
            </w:pPr>
            <w:r>
              <w:rPr>
                <w:sz w:val="24"/>
                <w:szCs w:val="24"/>
              </w:rPr>
              <w:t>226,24</w:t>
            </w:r>
            <w:r w:rsidR="00355D50">
              <w:rPr>
                <w:sz w:val="24"/>
                <w:szCs w:val="24"/>
              </w:rPr>
              <w:t>7</w:t>
            </w:r>
          </w:p>
        </w:tc>
      </w:tr>
      <w:tr w:rsidR="000A3DAD" w:rsidTr="000A3DAD">
        <w:tc>
          <w:tcPr>
            <w:tcW w:w="3496" w:type="dxa"/>
          </w:tcPr>
          <w:p w:rsidR="000A3DAD" w:rsidRDefault="000A3DAD" w:rsidP="000A3DAD">
            <w:pPr>
              <w:pStyle w:val="Heading2"/>
              <w:spacing w:before="0" w:after="0"/>
              <w:jc w:val="both"/>
              <w:outlineLvl w:val="1"/>
              <w:rPr>
                <w:i w:val="0"/>
                <w:sz w:val="24"/>
                <w:szCs w:val="24"/>
              </w:rPr>
            </w:pPr>
            <w:r>
              <w:rPr>
                <w:i w:val="0"/>
                <w:sz w:val="24"/>
                <w:szCs w:val="24"/>
              </w:rPr>
              <w:t>NET ASSETS</w:t>
            </w:r>
          </w:p>
        </w:tc>
        <w:tc>
          <w:tcPr>
            <w:tcW w:w="1607" w:type="dxa"/>
            <w:tcBorders>
              <w:top w:val="single" w:sz="4" w:space="0" w:color="auto"/>
              <w:bottom w:val="single" w:sz="4" w:space="0" w:color="auto"/>
            </w:tcBorders>
          </w:tcPr>
          <w:p w:rsidR="000A3DAD" w:rsidRDefault="006A15AF" w:rsidP="006A15AF">
            <w:pPr>
              <w:jc w:val="right"/>
              <w:rPr>
                <w:sz w:val="24"/>
                <w:szCs w:val="24"/>
              </w:rPr>
            </w:pPr>
            <w:r>
              <w:rPr>
                <w:sz w:val="24"/>
                <w:szCs w:val="24"/>
              </w:rPr>
              <w:t>270,70</w:t>
            </w:r>
            <w:r w:rsidR="00355D50">
              <w:rPr>
                <w:sz w:val="24"/>
                <w:szCs w:val="24"/>
              </w:rPr>
              <w:t>2</w:t>
            </w:r>
          </w:p>
        </w:tc>
        <w:tc>
          <w:tcPr>
            <w:tcW w:w="1984" w:type="dxa"/>
            <w:tcBorders>
              <w:top w:val="single" w:sz="4" w:space="0" w:color="auto"/>
              <w:bottom w:val="single" w:sz="4" w:space="0" w:color="auto"/>
            </w:tcBorders>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0A3DAD" w:rsidRDefault="006A15AF" w:rsidP="00355D50">
            <w:pPr>
              <w:jc w:val="right"/>
              <w:rPr>
                <w:sz w:val="24"/>
                <w:szCs w:val="24"/>
              </w:rPr>
            </w:pPr>
            <w:r>
              <w:rPr>
                <w:sz w:val="24"/>
                <w:szCs w:val="24"/>
              </w:rPr>
              <w:t>270,70</w:t>
            </w:r>
            <w:r w:rsidR="00355D50">
              <w:rPr>
                <w:sz w:val="24"/>
                <w:szCs w:val="24"/>
              </w:rPr>
              <w:t>2</w:t>
            </w:r>
          </w:p>
        </w:tc>
      </w:tr>
    </w:tbl>
    <w:p w:rsidR="000A3DAD" w:rsidRDefault="000A3DAD" w:rsidP="00AD34DC">
      <w:pPr>
        <w:pStyle w:val="Heading2"/>
        <w:jc w:val="both"/>
        <w:rPr>
          <w:b w:val="0"/>
          <w:i w:val="0"/>
          <w:sz w:val="24"/>
          <w:szCs w:val="24"/>
          <w:lang w:val="en-GB"/>
        </w:rPr>
      </w:pPr>
    </w:p>
    <w:p w:rsidR="000A3DAD" w:rsidRDefault="000A3DAD" w:rsidP="000A3DAD">
      <w:pPr>
        <w:rPr>
          <w:lang w:val="en-GB"/>
        </w:rPr>
      </w:pPr>
      <w:r>
        <w:rPr>
          <w:lang w:val="en-GB"/>
        </w:rPr>
        <w:br w:type="page"/>
      </w:r>
    </w:p>
    <w:p w:rsidR="000A3DAD" w:rsidRPr="00C425EA" w:rsidRDefault="000A3DAD" w:rsidP="000A3DAD">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r>
        <w:rPr>
          <w:rFonts w:ascii="Times New Roman" w:hAnsi="Times New Roman"/>
          <w:b/>
          <w:i/>
          <w:sz w:val="24"/>
          <w:szCs w:val="24"/>
        </w:rPr>
        <w:t xml:space="preserve"> (Cont’d)</w:t>
      </w:r>
    </w:p>
    <w:p w:rsidR="000A3DAD" w:rsidRPr="004947D3" w:rsidRDefault="000A3DAD" w:rsidP="0001430D">
      <w:pPr>
        <w:pStyle w:val="BodyText2"/>
        <w:numPr>
          <w:ilvl w:val="0"/>
          <w:numId w:val="35"/>
        </w:numPr>
        <w:spacing w:before="90" w:line="260" w:lineRule="exact"/>
        <w:rPr>
          <w:rFonts w:ascii="Times New Roman" w:hAnsi="Times New Roman"/>
          <w:b/>
          <w:sz w:val="24"/>
          <w:szCs w:val="24"/>
        </w:rPr>
      </w:pPr>
      <w:r>
        <w:rPr>
          <w:rFonts w:ascii="Times New Roman" w:hAnsi="Times New Roman"/>
          <w:sz w:val="24"/>
          <w:szCs w:val="24"/>
        </w:rPr>
        <w:t xml:space="preserve">Reconciliation of Consolidated Financial Position as at </w:t>
      </w:r>
      <w:r w:rsidR="00F77B6E">
        <w:rPr>
          <w:rFonts w:ascii="Times New Roman" w:hAnsi="Times New Roman"/>
          <w:b/>
          <w:sz w:val="24"/>
          <w:szCs w:val="24"/>
        </w:rPr>
        <w:t>31</w:t>
      </w:r>
      <w:r w:rsidRPr="004947D3">
        <w:rPr>
          <w:rFonts w:ascii="Times New Roman" w:hAnsi="Times New Roman"/>
          <w:b/>
          <w:sz w:val="24"/>
          <w:szCs w:val="24"/>
        </w:rPr>
        <w:t xml:space="preserve"> </w:t>
      </w:r>
      <w:r w:rsidR="00C85DDA">
        <w:rPr>
          <w:rFonts w:ascii="Times New Roman" w:hAnsi="Times New Roman"/>
          <w:b/>
          <w:sz w:val="24"/>
          <w:szCs w:val="24"/>
        </w:rPr>
        <w:t>March</w:t>
      </w:r>
      <w:r w:rsidRPr="004947D3">
        <w:rPr>
          <w:rFonts w:ascii="Times New Roman" w:hAnsi="Times New Roman"/>
          <w:b/>
          <w:sz w:val="24"/>
          <w:szCs w:val="24"/>
        </w:rPr>
        <w:t xml:space="preserve"> 201</w:t>
      </w:r>
      <w:r w:rsidR="00C85DDA">
        <w:rPr>
          <w:rFonts w:ascii="Times New Roman" w:hAnsi="Times New Roman"/>
          <w:b/>
          <w:sz w:val="24"/>
          <w:szCs w:val="24"/>
        </w:rPr>
        <w:t>2</w:t>
      </w:r>
    </w:p>
    <w:p w:rsidR="000A3DAD" w:rsidRDefault="000A3DAD" w:rsidP="000A3DAD">
      <w:pPr>
        <w:pStyle w:val="BodyText2"/>
        <w:spacing w:before="90" w:line="260" w:lineRule="exact"/>
        <w:ind w:left="70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0A3DAD" w:rsidTr="000A3DAD">
        <w:tc>
          <w:tcPr>
            <w:tcW w:w="3496" w:type="dxa"/>
          </w:tcPr>
          <w:p w:rsidR="000A3DAD" w:rsidRDefault="000A3DAD" w:rsidP="000A3DAD">
            <w:pPr>
              <w:pStyle w:val="Heading2"/>
              <w:spacing w:before="0" w:after="0"/>
              <w:jc w:val="both"/>
              <w:outlineLvl w:val="1"/>
              <w:rPr>
                <w:b w:val="0"/>
                <w:i w:val="0"/>
                <w:sz w:val="24"/>
                <w:szCs w:val="24"/>
              </w:rPr>
            </w:pPr>
          </w:p>
        </w:tc>
        <w:tc>
          <w:tcPr>
            <w:tcW w:w="1607" w:type="dxa"/>
          </w:tcPr>
          <w:p w:rsidR="000A3DAD" w:rsidRDefault="000A3DAD" w:rsidP="000A3DAD">
            <w:pPr>
              <w:pStyle w:val="Heading2"/>
              <w:spacing w:before="0" w:after="0"/>
              <w:jc w:val="right"/>
              <w:outlineLvl w:val="1"/>
              <w:rPr>
                <w:b w:val="0"/>
                <w:i w:val="0"/>
                <w:sz w:val="24"/>
                <w:szCs w:val="24"/>
              </w:rPr>
            </w:pPr>
            <w:r>
              <w:rPr>
                <w:b w:val="0"/>
                <w:i w:val="0"/>
                <w:sz w:val="24"/>
                <w:szCs w:val="24"/>
              </w:rPr>
              <w:t>Under FRS Framework</w:t>
            </w:r>
          </w:p>
        </w:tc>
        <w:tc>
          <w:tcPr>
            <w:tcW w:w="1984" w:type="dxa"/>
          </w:tcPr>
          <w:p w:rsidR="000A3DAD" w:rsidRDefault="000A3DAD" w:rsidP="000A3DAD">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0A3DAD" w:rsidRDefault="000A3DAD" w:rsidP="000A3DAD">
            <w:pPr>
              <w:pStyle w:val="Heading2"/>
              <w:spacing w:before="0" w:after="0"/>
              <w:jc w:val="right"/>
              <w:outlineLvl w:val="1"/>
              <w:rPr>
                <w:b w:val="0"/>
                <w:i w:val="0"/>
                <w:sz w:val="24"/>
                <w:szCs w:val="24"/>
              </w:rPr>
            </w:pPr>
            <w:r>
              <w:rPr>
                <w:b w:val="0"/>
                <w:i w:val="0"/>
                <w:sz w:val="24"/>
                <w:szCs w:val="24"/>
              </w:rPr>
              <w:t>Under MFRS Framework</w:t>
            </w:r>
          </w:p>
        </w:tc>
      </w:tr>
      <w:tr w:rsidR="000A3DAD" w:rsidRPr="002B2C6A" w:rsidTr="000A3DAD">
        <w:tc>
          <w:tcPr>
            <w:tcW w:w="3496" w:type="dxa"/>
            <w:shd w:val="clear" w:color="auto" w:fill="D9D9D9" w:themeFill="background1" w:themeFillShade="D9"/>
          </w:tcPr>
          <w:p w:rsidR="000A3DAD" w:rsidRPr="002B2C6A" w:rsidRDefault="000A3DAD" w:rsidP="000A3DAD">
            <w:pPr>
              <w:pStyle w:val="Heading2"/>
              <w:spacing w:before="0" w:after="0"/>
              <w:jc w:val="both"/>
              <w:outlineLvl w:val="1"/>
              <w:rPr>
                <w:i w:val="0"/>
                <w:sz w:val="24"/>
                <w:szCs w:val="24"/>
              </w:rPr>
            </w:pPr>
            <w:r>
              <w:rPr>
                <w:i w:val="0"/>
                <w:sz w:val="24"/>
                <w:szCs w:val="24"/>
              </w:rPr>
              <w:t>Equity</w:t>
            </w:r>
          </w:p>
        </w:tc>
        <w:tc>
          <w:tcPr>
            <w:tcW w:w="1607" w:type="dxa"/>
            <w:shd w:val="clear" w:color="auto" w:fill="D9D9D9" w:themeFill="background1" w:themeFillShade="D9"/>
          </w:tcPr>
          <w:p w:rsidR="000A3DAD" w:rsidRPr="002B2C6A" w:rsidRDefault="000A3DAD" w:rsidP="000A3DAD">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0A3DAD" w:rsidRPr="002B2C6A" w:rsidRDefault="000A3DAD" w:rsidP="000A3DAD">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0A3DAD" w:rsidRPr="002B2C6A" w:rsidRDefault="000A3DAD" w:rsidP="000A3DAD">
            <w:pPr>
              <w:pStyle w:val="Heading2"/>
              <w:spacing w:before="0" w:after="0"/>
              <w:jc w:val="right"/>
              <w:outlineLvl w:val="1"/>
              <w:rPr>
                <w:i w:val="0"/>
                <w:sz w:val="24"/>
                <w:szCs w:val="24"/>
              </w:rPr>
            </w:pPr>
            <w:r w:rsidRPr="002B2C6A">
              <w:rPr>
                <w:i w:val="0"/>
                <w:sz w:val="24"/>
                <w:szCs w:val="24"/>
              </w:rPr>
              <w:t>RM’000</w:t>
            </w:r>
          </w:p>
        </w:tc>
      </w:tr>
      <w:tr w:rsidR="000A3DAD" w:rsidRPr="002B2C6A" w:rsidTr="000A3DAD">
        <w:tc>
          <w:tcPr>
            <w:tcW w:w="3496" w:type="dxa"/>
            <w:shd w:val="clear" w:color="auto" w:fill="auto"/>
          </w:tcPr>
          <w:p w:rsidR="000A3DAD" w:rsidRPr="002B2C6A" w:rsidRDefault="000A3DAD" w:rsidP="000A3DAD">
            <w:pPr>
              <w:pStyle w:val="Heading2"/>
              <w:spacing w:before="0" w:after="0"/>
              <w:jc w:val="both"/>
              <w:outlineLvl w:val="1"/>
              <w:rPr>
                <w:b w:val="0"/>
                <w:i w:val="0"/>
                <w:sz w:val="24"/>
                <w:szCs w:val="24"/>
              </w:rPr>
            </w:pPr>
            <w:r>
              <w:rPr>
                <w:b w:val="0"/>
                <w:i w:val="0"/>
                <w:sz w:val="24"/>
                <w:szCs w:val="24"/>
              </w:rPr>
              <w:t>Share capital</w:t>
            </w:r>
          </w:p>
        </w:tc>
        <w:tc>
          <w:tcPr>
            <w:tcW w:w="1607" w:type="dxa"/>
            <w:shd w:val="clear" w:color="auto" w:fill="auto"/>
          </w:tcPr>
          <w:p w:rsidR="000A3DAD" w:rsidRPr="002B2C6A" w:rsidRDefault="000A3DAD" w:rsidP="000A3DAD">
            <w:pPr>
              <w:pStyle w:val="Heading2"/>
              <w:spacing w:before="0" w:after="0"/>
              <w:jc w:val="right"/>
              <w:outlineLvl w:val="1"/>
              <w:rPr>
                <w:b w:val="0"/>
                <w:i w:val="0"/>
                <w:sz w:val="24"/>
                <w:szCs w:val="24"/>
              </w:rPr>
            </w:pPr>
            <w:r w:rsidRPr="002B2C6A">
              <w:rPr>
                <w:b w:val="0"/>
                <w:i w:val="0"/>
                <w:sz w:val="24"/>
                <w:szCs w:val="24"/>
              </w:rPr>
              <w:t>182,000</w:t>
            </w:r>
          </w:p>
        </w:tc>
        <w:tc>
          <w:tcPr>
            <w:tcW w:w="1984" w:type="dxa"/>
            <w:shd w:val="clear" w:color="auto" w:fill="auto"/>
          </w:tcPr>
          <w:p w:rsidR="000A3DAD" w:rsidRPr="002B2C6A" w:rsidRDefault="000A3DAD" w:rsidP="000A3DAD">
            <w:pPr>
              <w:pStyle w:val="Heading2"/>
              <w:spacing w:before="0" w:after="0"/>
              <w:jc w:val="right"/>
              <w:outlineLvl w:val="1"/>
              <w:rPr>
                <w:i w:val="0"/>
                <w:sz w:val="24"/>
                <w:szCs w:val="24"/>
              </w:rPr>
            </w:pPr>
            <w:r>
              <w:rPr>
                <w:i w:val="0"/>
                <w:sz w:val="24"/>
                <w:szCs w:val="24"/>
              </w:rPr>
              <w:t>-</w:t>
            </w:r>
          </w:p>
        </w:tc>
        <w:tc>
          <w:tcPr>
            <w:tcW w:w="1530" w:type="dxa"/>
            <w:shd w:val="clear" w:color="auto" w:fill="auto"/>
          </w:tcPr>
          <w:p w:rsidR="000A3DAD" w:rsidRPr="002B2C6A" w:rsidRDefault="000A3DAD" w:rsidP="000A3DAD">
            <w:pPr>
              <w:pStyle w:val="Heading2"/>
              <w:spacing w:before="0" w:after="0"/>
              <w:jc w:val="right"/>
              <w:outlineLvl w:val="1"/>
              <w:rPr>
                <w:b w:val="0"/>
                <w:i w:val="0"/>
                <w:sz w:val="24"/>
                <w:szCs w:val="24"/>
              </w:rPr>
            </w:pPr>
            <w:r w:rsidRPr="002B2C6A">
              <w:rPr>
                <w:b w:val="0"/>
                <w:i w:val="0"/>
                <w:sz w:val="24"/>
                <w:szCs w:val="24"/>
              </w:rPr>
              <w:t>182,000</w:t>
            </w:r>
          </w:p>
        </w:tc>
      </w:tr>
      <w:tr w:rsidR="000A3DAD" w:rsidRPr="002B2C6A" w:rsidTr="000A3DAD">
        <w:tc>
          <w:tcPr>
            <w:tcW w:w="3496" w:type="dxa"/>
            <w:shd w:val="clear" w:color="auto" w:fill="auto"/>
          </w:tcPr>
          <w:p w:rsidR="000A3DAD" w:rsidRDefault="000A3DAD" w:rsidP="000A3DAD">
            <w:pPr>
              <w:pStyle w:val="Heading2"/>
              <w:spacing w:before="0" w:after="0"/>
              <w:jc w:val="both"/>
              <w:outlineLvl w:val="1"/>
              <w:rPr>
                <w:b w:val="0"/>
                <w:i w:val="0"/>
                <w:sz w:val="24"/>
                <w:szCs w:val="24"/>
              </w:rPr>
            </w:pPr>
            <w:r>
              <w:rPr>
                <w:b w:val="0"/>
                <w:i w:val="0"/>
                <w:sz w:val="24"/>
                <w:szCs w:val="24"/>
              </w:rPr>
              <w:t>Retained earnings</w:t>
            </w:r>
          </w:p>
        </w:tc>
        <w:tc>
          <w:tcPr>
            <w:tcW w:w="1607" w:type="dxa"/>
            <w:shd w:val="clear" w:color="auto" w:fill="auto"/>
          </w:tcPr>
          <w:p w:rsidR="000A3DAD" w:rsidRPr="002B2C6A" w:rsidRDefault="006A15AF" w:rsidP="00373C1D">
            <w:pPr>
              <w:pStyle w:val="Heading2"/>
              <w:spacing w:before="0" w:after="0"/>
              <w:jc w:val="right"/>
              <w:outlineLvl w:val="1"/>
              <w:rPr>
                <w:b w:val="0"/>
                <w:i w:val="0"/>
                <w:sz w:val="24"/>
                <w:szCs w:val="24"/>
              </w:rPr>
            </w:pPr>
            <w:r>
              <w:rPr>
                <w:b w:val="0"/>
                <w:i w:val="0"/>
                <w:sz w:val="24"/>
                <w:szCs w:val="24"/>
              </w:rPr>
              <w:t>77,004</w:t>
            </w:r>
          </w:p>
        </w:tc>
        <w:tc>
          <w:tcPr>
            <w:tcW w:w="1984" w:type="dxa"/>
            <w:shd w:val="clear" w:color="auto" w:fill="auto"/>
          </w:tcPr>
          <w:p w:rsidR="000A3DAD" w:rsidRPr="00021344" w:rsidRDefault="00320EC3" w:rsidP="000A3DAD">
            <w:pPr>
              <w:pStyle w:val="Heading2"/>
              <w:spacing w:before="0" w:after="0"/>
              <w:jc w:val="right"/>
              <w:outlineLvl w:val="1"/>
              <w:rPr>
                <w:b w:val="0"/>
                <w:i w:val="0"/>
                <w:sz w:val="24"/>
                <w:szCs w:val="24"/>
              </w:rPr>
            </w:pPr>
            <w:r>
              <w:rPr>
                <w:b w:val="0"/>
                <w:i w:val="0"/>
                <w:sz w:val="24"/>
                <w:szCs w:val="24"/>
              </w:rPr>
              <w:t>448</w:t>
            </w:r>
          </w:p>
        </w:tc>
        <w:tc>
          <w:tcPr>
            <w:tcW w:w="1530" w:type="dxa"/>
            <w:shd w:val="clear" w:color="auto" w:fill="auto"/>
          </w:tcPr>
          <w:p w:rsidR="000A3DAD" w:rsidRPr="002B2C6A" w:rsidRDefault="006A15AF" w:rsidP="006A15AF">
            <w:pPr>
              <w:pStyle w:val="Heading2"/>
              <w:spacing w:before="0" w:after="0"/>
              <w:jc w:val="right"/>
              <w:outlineLvl w:val="1"/>
              <w:rPr>
                <w:b w:val="0"/>
                <w:i w:val="0"/>
                <w:sz w:val="24"/>
                <w:szCs w:val="24"/>
              </w:rPr>
            </w:pPr>
            <w:r>
              <w:rPr>
                <w:b w:val="0"/>
                <w:i w:val="0"/>
                <w:sz w:val="24"/>
                <w:szCs w:val="24"/>
              </w:rPr>
              <w:t>77,452</w:t>
            </w:r>
          </w:p>
        </w:tc>
      </w:tr>
      <w:tr w:rsidR="000A3DAD" w:rsidRPr="002B2C6A" w:rsidTr="000A3DAD">
        <w:tc>
          <w:tcPr>
            <w:tcW w:w="3496" w:type="dxa"/>
            <w:shd w:val="clear" w:color="auto" w:fill="auto"/>
          </w:tcPr>
          <w:p w:rsidR="000A3DAD" w:rsidRDefault="000A3DAD" w:rsidP="000A3DAD">
            <w:pPr>
              <w:pStyle w:val="Heading2"/>
              <w:spacing w:before="0" w:after="0"/>
              <w:jc w:val="both"/>
              <w:outlineLvl w:val="1"/>
              <w:rPr>
                <w:b w:val="0"/>
                <w:i w:val="0"/>
                <w:sz w:val="24"/>
                <w:szCs w:val="24"/>
              </w:rPr>
            </w:pPr>
            <w:r>
              <w:rPr>
                <w:b w:val="0"/>
                <w:i w:val="0"/>
                <w:sz w:val="24"/>
                <w:szCs w:val="24"/>
              </w:rPr>
              <w:t>Revaluation reserve</w:t>
            </w:r>
          </w:p>
        </w:tc>
        <w:tc>
          <w:tcPr>
            <w:tcW w:w="1607" w:type="dxa"/>
            <w:shd w:val="clear" w:color="auto" w:fill="auto"/>
          </w:tcPr>
          <w:p w:rsidR="000A3DAD" w:rsidRDefault="000A3DAD" w:rsidP="000A3DAD">
            <w:pPr>
              <w:pStyle w:val="Heading2"/>
              <w:spacing w:before="0" w:after="0"/>
              <w:jc w:val="right"/>
              <w:outlineLvl w:val="1"/>
              <w:rPr>
                <w:b w:val="0"/>
                <w:i w:val="0"/>
                <w:sz w:val="24"/>
                <w:szCs w:val="24"/>
              </w:rPr>
            </w:pPr>
            <w:r>
              <w:rPr>
                <w:b w:val="0"/>
                <w:i w:val="0"/>
                <w:sz w:val="24"/>
                <w:szCs w:val="24"/>
              </w:rPr>
              <w:t>101</w:t>
            </w:r>
          </w:p>
        </w:tc>
        <w:tc>
          <w:tcPr>
            <w:tcW w:w="1984" w:type="dxa"/>
            <w:shd w:val="clear" w:color="auto" w:fill="auto"/>
          </w:tcPr>
          <w:p w:rsidR="000A3DAD" w:rsidRPr="00021344" w:rsidRDefault="000A3DAD" w:rsidP="000A3DAD">
            <w:pPr>
              <w:pStyle w:val="Heading2"/>
              <w:spacing w:before="0" w:after="0"/>
              <w:jc w:val="right"/>
              <w:outlineLvl w:val="1"/>
              <w:rPr>
                <w:b w:val="0"/>
                <w:i w:val="0"/>
                <w:sz w:val="24"/>
                <w:szCs w:val="24"/>
              </w:rPr>
            </w:pPr>
            <w:r w:rsidRPr="00021344">
              <w:rPr>
                <w:b w:val="0"/>
                <w:i w:val="0"/>
                <w:sz w:val="24"/>
                <w:szCs w:val="24"/>
              </w:rPr>
              <w:t>(101)</w:t>
            </w:r>
            <w:r>
              <w:rPr>
                <w:b w:val="0"/>
                <w:i w:val="0"/>
                <w:sz w:val="24"/>
                <w:szCs w:val="24"/>
              </w:rPr>
              <w:t>#</w:t>
            </w:r>
          </w:p>
        </w:tc>
        <w:tc>
          <w:tcPr>
            <w:tcW w:w="1530" w:type="dxa"/>
            <w:shd w:val="clear" w:color="auto" w:fill="auto"/>
          </w:tcPr>
          <w:p w:rsidR="000A3DAD" w:rsidRDefault="000A3DAD" w:rsidP="000A3DAD">
            <w:pPr>
              <w:pStyle w:val="Heading2"/>
              <w:spacing w:before="0" w:after="0"/>
              <w:jc w:val="right"/>
              <w:outlineLvl w:val="1"/>
              <w:rPr>
                <w:b w:val="0"/>
                <w:i w:val="0"/>
                <w:sz w:val="24"/>
                <w:szCs w:val="24"/>
              </w:rPr>
            </w:pPr>
            <w:r>
              <w:rPr>
                <w:b w:val="0"/>
                <w:i w:val="0"/>
                <w:sz w:val="24"/>
                <w:szCs w:val="24"/>
              </w:rPr>
              <w:t>-</w:t>
            </w:r>
          </w:p>
        </w:tc>
      </w:tr>
      <w:tr w:rsidR="000A3DAD" w:rsidRPr="002B2C6A" w:rsidTr="000A3DAD">
        <w:tc>
          <w:tcPr>
            <w:tcW w:w="3496" w:type="dxa"/>
            <w:shd w:val="clear" w:color="auto" w:fill="auto"/>
          </w:tcPr>
          <w:p w:rsidR="000A3DAD" w:rsidRDefault="000A3DAD" w:rsidP="000A3DAD">
            <w:pPr>
              <w:pStyle w:val="Heading2"/>
              <w:spacing w:before="0" w:after="0"/>
              <w:jc w:val="both"/>
              <w:outlineLvl w:val="1"/>
              <w:rPr>
                <w:b w:val="0"/>
                <w:i w:val="0"/>
                <w:sz w:val="24"/>
                <w:szCs w:val="24"/>
              </w:rPr>
            </w:pPr>
            <w:r>
              <w:rPr>
                <w:b w:val="0"/>
                <w:i w:val="0"/>
                <w:sz w:val="24"/>
                <w:szCs w:val="24"/>
              </w:rPr>
              <w:t>Foreign currency translation reserve</w:t>
            </w:r>
          </w:p>
        </w:tc>
        <w:tc>
          <w:tcPr>
            <w:tcW w:w="1607" w:type="dxa"/>
            <w:tcBorders>
              <w:bottom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C85DDA" w:rsidP="00C85DDA">
            <w:pPr>
              <w:jc w:val="right"/>
              <w:rPr>
                <w:sz w:val="24"/>
                <w:szCs w:val="24"/>
              </w:rPr>
            </w:pPr>
            <w:r>
              <w:rPr>
                <w:sz w:val="24"/>
                <w:szCs w:val="24"/>
              </w:rPr>
              <w:t>42</w:t>
            </w:r>
          </w:p>
        </w:tc>
        <w:tc>
          <w:tcPr>
            <w:tcW w:w="1984" w:type="dxa"/>
            <w:tcBorders>
              <w:bottom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0A3DAD" w:rsidP="00320EC3">
            <w:pPr>
              <w:jc w:val="right"/>
              <w:rPr>
                <w:sz w:val="24"/>
                <w:szCs w:val="24"/>
              </w:rPr>
            </w:pPr>
            <w:r>
              <w:rPr>
                <w:sz w:val="24"/>
                <w:szCs w:val="24"/>
              </w:rPr>
              <w:t>(</w:t>
            </w:r>
            <w:r w:rsidR="00320EC3">
              <w:rPr>
                <w:sz w:val="24"/>
                <w:szCs w:val="24"/>
              </w:rPr>
              <w:t>347</w:t>
            </w:r>
            <w:r>
              <w:rPr>
                <w:sz w:val="24"/>
                <w:szCs w:val="24"/>
              </w:rPr>
              <w:t>)</w:t>
            </w:r>
            <w:r w:rsidR="009D77DF">
              <w:rPr>
                <w:sz w:val="24"/>
                <w:szCs w:val="24"/>
              </w:rPr>
              <w:t>#</w:t>
            </w:r>
          </w:p>
        </w:tc>
        <w:tc>
          <w:tcPr>
            <w:tcW w:w="1530" w:type="dxa"/>
            <w:tcBorders>
              <w:bottom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373C1D" w:rsidP="006A15AF">
            <w:pPr>
              <w:jc w:val="right"/>
              <w:rPr>
                <w:sz w:val="24"/>
                <w:szCs w:val="24"/>
              </w:rPr>
            </w:pPr>
            <w:r>
              <w:rPr>
                <w:sz w:val="24"/>
                <w:szCs w:val="24"/>
              </w:rPr>
              <w:t>(</w:t>
            </w:r>
            <w:r w:rsidR="00C85DDA">
              <w:rPr>
                <w:sz w:val="24"/>
                <w:szCs w:val="24"/>
              </w:rPr>
              <w:t>30</w:t>
            </w:r>
            <w:r w:rsidR="006A15AF">
              <w:rPr>
                <w:sz w:val="24"/>
                <w:szCs w:val="24"/>
              </w:rPr>
              <w:t>5</w:t>
            </w:r>
            <w:r>
              <w:rPr>
                <w:sz w:val="24"/>
                <w:szCs w:val="24"/>
              </w:rPr>
              <w:t>)</w:t>
            </w:r>
          </w:p>
        </w:tc>
      </w:tr>
      <w:tr w:rsidR="000A3DAD" w:rsidRPr="002B2C6A" w:rsidTr="000A3DAD">
        <w:tc>
          <w:tcPr>
            <w:tcW w:w="3496" w:type="dxa"/>
            <w:shd w:val="clear" w:color="auto" w:fill="auto"/>
          </w:tcPr>
          <w:p w:rsidR="000A3DAD" w:rsidRDefault="000A3DAD" w:rsidP="000A3DAD">
            <w:pPr>
              <w:pStyle w:val="Heading2"/>
              <w:spacing w:before="0" w:after="0"/>
              <w:jc w:val="both"/>
              <w:outlineLvl w:val="1"/>
              <w:rPr>
                <w:b w:val="0"/>
                <w:i w:val="0"/>
                <w:sz w:val="24"/>
                <w:szCs w:val="24"/>
              </w:rPr>
            </w:pPr>
            <w:r>
              <w:rPr>
                <w:b w:val="0"/>
                <w:i w:val="0"/>
                <w:sz w:val="24"/>
                <w:szCs w:val="24"/>
              </w:rPr>
              <w:t>Equity attributable to owners of the parent</w:t>
            </w:r>
          </w:p>
        </w:tc>
        <w:tc>
          <w:tcPr>
            <w:tcW w:w="1607" w:type="dxa"/>
            <w:tcBorders>
              <w:top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6A15AF" w:rsidP="000A3DAD">
            <w:pPr>
              <w:jc w:val="right"/>
              <w:rPr>
                <w:sz w:val="24"/>
                <w:szCs w:val="24"/>
              </w:rPr>
            </w:pPr>
            <w:r>
              <w:rPr>
                <w:sz w:val="24"/>
                <w:szCs w:val="24"/>
              </w:rPr>
              <w:t>259,147</w:t>
            </w:r>
          </w:p>
        </w:tc>
        <w:tc>
          <w:tcPr>
            <w:tcW w:w="1984" w:type="dxa"/>
            <w:tcBorders>
              <w:top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0A3DAD" w:rsidP="000A3DAD">
            <w:pPr>
              <w:jc w:val="right"/>
              <w:rPr>
                <w:sz w:val="24"/>
                <w:szCs w:val="24"/>
              </w:rPr>
            </w:pPr>
            <w:r>
              <w:rPr>
                <w:sz w:val="24"/>
                <w:szCs w:val="24"/>
              </w:rPr>
              <w:t>-</w:t>
            </w:r>
          </w:p>
        </w:tc>
        <w:tc>
          <w:tcPr>
            <w:tcW w:w="1530" w:type="dxa"/>
            <w:tcBorders>
              <w:top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p>
          <w:p w:rsidR="000A3DAD" w:rsidRPr="0021578B" w:rsidRDefault="006A15AF" w:rsidP="000A3DAD">
            <w:pPr>
              <w:jc w:val="right"/>
              <w:rPr>
                <w:sz w:val="24"/>
                <w:szCs w:val="24"/>
              </w:rPr>
            </w:pPr>
            <w:r>
              <w:rPr>
                <w:sz w:val="24"/>
                <w:szCs w:val="24"/>
              </w:rPr>
              <w:t>259,147</w:t>
            </w:r>
          </w:p>
        </w:tc>
      </w:tr>
      <w:tr w:rsidR="000A3DAD" w:rsidRPr="002B2C6A" w:rsidTr="000A3DAD">
        <w:tc>
          <w:tcPr>
            <w:tcW w:w="3496" w:type="dxa"/>
            <w:shd w:val="clear" w:color="auto" w:fill="auto"/>
          </w:tcPr>
          <w:p w:rsidR="000A3DAD" w:rsidRDefault="000A3DAD" w:rsidP="000A3DAD">
            <w:pPr>
              <w:pStyle w:val="Heading2"/>
              <w:spacing w:before="0" w:after="0"/>
              <w:jc w:val="both"/>
              <w:outlineLvl w:val="1"/>
              <w:rPr>
                <w:b w:val="0"/>
                <w:i w:val="0"/>
                <w:sz w:val="24"/>
                <w:szCs w:val="24"/>
              </w:rPr>
            </w:pPr>
            <w:r>
              <w:rPr>
                <w:b w:val="0"/>
                <w:i w:val="0"/>
                <w:sz w:val="24"/>
                <w:szCs w:val="24"/>
              </w:rPr>
              <w:t>Non-controlling interests</w:t>
            </w:r>
          </w:p>
        </w:tc>
        <w:tc>
          <w:tcPr>
            <w:tcW w:w="1607" w:type="dxa"/>
            <w:tcBorders>
              <w:bottom w:val="single" w:sz="4" w:space="0" w:color="auto"/>
            </w:tcBorders>
            <w:shd w:val="clear" w:color="auto" w:fill="auto"/>
          </w:tcPr>
          <w:p w:rsidR="000A3DAD" w:rsidRDefault="006A15AF" w:rsidP="00355D50">
            <w:pPr>
              <w:pStyle w:val="Heading2"/>
              <w:spacing w:before="0" w:after="0"/>
              <w:jc w:val="right"/>
              <w:outlineLvl w:val="1"/>
              <w:rPr>
                <w:b w:val="0"/>
                <w:i w:val="0"/>
                <w:sz w:val="24"/>
                <w:szCs w:val="24"/>
              </w:rPr>
            </w:pPr>
            <w:r>
              <w:rPr>
                <w:b w:val="0"/>
                <w:i w:val="0"/>
                <w:sz w:val="24"/>
                <w:szCs w:val="24"/>
              </w:rPr>
              <w:t>11,55</w:t>
            </w:r>
            <w:r w:rsidR="00355D50">
              <w:rPr>
                <w:b w:val="0"/>
                <w:i w:val="0"/>
                <w:sz w:val="24"/>
                <w:szCs w:val="24"/>
              </w:rPr>
              <w:t>5</w:t>
            </w:r>
          </w:p>
        </w:tc>
        <w:tc>
          <w:tcPr>
            <w:tcW w:w="1984" w:type="dxa"/>
            <w:tcBorders>
              <w:bottom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shd w:val="clear" w:color="auto" w:fill="auto"/>
          </w:tcPr>
          <w:p w:rsidR="000A3DAD" w:rsidRDefault="006A15AF" w:rsidP="00355D50">
            <w:pPr>
              <w:pStyle w:val="Heading2"/>
              <w:spacing w:before="0" w:after="0"/>
              <w:jc w:val="right"/>
              <w:outlineLvl w:val="1"/>
              <w:rPr>
                <w:b w:val="0"/>
                <w:i w:val="0"/>
                <w:sz w:val="24"/>
                <w:szCs w:val="24"/>
              </w:rPr>
            </w:pPr>
            <w:r>
              <w:rPr>
                <w:b w:val="0"/>
                <w:i w:val="0"/>
                <w:sz w:val="24"/>
                <w:szCs w:val="24"/>
              </w:rPr>
              <w:t>11,55</w:t>
            </w:r>
            <w:r w:rsidR="00355D50">
              <w:rPr>
                <w:b w:val="0"/>
                <w:i w:val="0"/>
                <w:sz w:val="24"/>
                <w:szCs w:val="24"/>
              </w:rPr>
              <w:t>5</w:t>
            </w:r>
          </w:p>
        </w:tc>
      </w:tr>
      <w:tr w:rsidR="000A3DAD" w:rsidRPr="002B2C6A" w:rsidTr="000A3DAD">
        <w:tc>
          <w:tcPr>
            <w:tcW w:w="3496" w:type="dxa"/>
            <w:shd w:val="clear" w:color="auto" w:fill="auto"/>
          </w:tcPr>
          <w:p w:rsidR="000A3DAD" w:rsidRPr="0021578B" w:rsidRDefault="000A3DAD" w:rsidP="000A3DAD">
            <w:pPr>
              <w:pStyle w:val="Heading2"/>
              <w:spacing w:before="0" w:after="0"/>
              <w:jc w:val="both"/>
              <w:outlineLvl w:val="1"/>
              <w:rPr>
                <w:i w:val="0"/>
                <w:sz w:val="24"/>
                <w:szCs w:val="24"/>
              </w:rPr>
            </w:pPr>
            <w:r w:rsidRPr="0021578B">
              <w:rPr>
                <w:i w:val="0"/>
                <w:sz w:val="24"/>
                <w:szCs w:val="24"/>
              </w:rPr>
              <w:t>TOTAL EQUITY</w:t>
            </w:r>
          </w:p>
        </w:tc>
        <w:tc>
          <w:tcPr>
            <w:tcW w:w="1607" w:type="dxa"/>
            <w:tcBorders>
              <w:top w:val="single" w:sz="4" w:space="0" w:color="auto"/>
              <w:bottom w:val="single" w:sz="4" w:space="0" w:color="auto"/>
            </w:tcBorders>
            <w:shd w:val="clear" w:color="auto" w:fill="auto"/>
          </w:tcPr>
          <w:p w:rsidR="000A3DAD" w:rsidRDefault="006A15AF" w:rsidP="00C33D0A">
            <w:pPr>
              <w:pStyle w:val="Heading2"/>
              <w:spacing w:before="0" w:after="0"/>
              <w:jc w:val="right"/>
              <w:outlineLvl w:val="1"/>
              <w:rPr>
                <w:b w:val="0"/>
                <w:i w:val="0"/>
                <w:sz w:val="24"/>
                <w:szCs w:val="24"/>
              </w:rPr>
            </w:pPr>
            <w:r>
              <w:rPr>
                <w:b w:val="0"/>
                <w:i w:val="0"/>
                <w:sz w:val="24"/>
                <w:szCs w:val="24"/>
              </w:rPr>
              <w:t>270,70</w:t>
            </w:r>
            <w:r w:rsidR="00355D50">
              <w:rPr>
                <w:b w:val="0"/>
                <w:i w:val="0"/>
                <w:sz w:val="24"/>
                <w:szCs w:val="24"/>
              </w:rPr>
              <w:t>2</w:t>
            </w:r>
          </w:p>
        </w:tc>
        <w:tc>
          <w:tcPr>
            <w:tcW w:w="1984" w:type="dxa"/>
            <w:tcBorders>
              <w:top w:val="single" w:sz="4" w:space="0" w:color="auto"/>
              <w:bottom w:val="single" w:sz="4" w:space="0" w:color="auto"/>
            </w:tcBorders>
            <w:shd w:val="clear" w:color="auto" w:fill="auto"/>
          </w:tcPr>
          <w:p w:rsidR="000A3DAD" w:rsidRDefault="000A3DAD" w:rsidP="000A3DAD">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shd w:val="clear" w:color="auto" w:fill="auto"/>
          </w:tcPr>
          <w:p w:rsidR="000A3DAD" w:rsidRDefault="006A15AF" w:rsidP="00355D50">
            <w:pPr>
              <w:pStyle w:val="Heading2"/>
              <w:spacing w:before="0" w:after="0"/>
              <w:jc w:val="right"/>
              <w:outlineLvl w:val="1"/>
              <w:rPr>
                <w:b w:val="0"/>
                <w:i w:val="0"/>
                <w:sz w:val="24"/>
                <w:szCs w:val="24"/>
              </w:rPr>
            </w:pPr>
            <w:r>
              <w:rPr>
                <w:b w:val="0"/>
                <w:i w:val="0"/>
                <w:sz w:val="24"/>
                <w:szCs w:val="24"/>
              </w:rPr>
              <w:t>270,70</w:t>
            </w:r>
            <w:r w:rsidR="00355D50">
              <w:rPr>
                <w:b w:val="0"/>
                <w:i w:val="0"/>
                <w:sz w:val="24"/>
                <w:szCs w:val="24"/>
              </w:rPr>
              <w:t>2</w:t>
            </w:r>
          </w:p>
        </w:tc>
      </w:tr>
    </w:tbl>
    <w:p w:rsidR="000A3DAD" w:rsidRDefault="000A3DAD" w:rsidP="00AD34DC">
      <w:pPr>
        <w:pStyle w:val="Heading2"/>
        <w:jc w:val="both"/>
      </w:pPr>
    </w:p>
    <w:p w:rsidR="004947D3" w:rsidRDefault="004947D3">
      <w:pPr>
        <w:overflowPunct/>
        <w:autoSpaceDE/>
        <w:autoSpaceDN/>
        <w:adjustRightInd/>
        <w:textAlignment w:val="auto"/>
        <w:rPr>
          <w:b/>
          <w:i/>
          <w:sz w:val="28"/>
        </w:rPr>
      </w:pPr>
      <w:r>
        <w:br w:type="page"/>
      </w:r>
    </w:p>
    <w:p w:rsidR="004947D3" w:rsidRPr="00C425EA" w:rsidRDefault="004947D3" w:rsidP="004947D3">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4947D3" w:rsidRDefault="004947D3" w:rsidP="0001430D">
      <w:pPr>
        <w:pStyle w:val="BodyText2"/>
        <w:numPr>
          <w:ilvl w:val="0"/>
          <w:numId w:val="35"/>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30 June 2012</w:t>
      </w:r>
    </w:p>
    <w:p w:rsidR="004947D3" w:rsidRDefault="004947D3" w:rsidP="004947D3">
      <w:pPr>
        <w:pStyle w:val="BodyText2"/>
        <w:spacing w:before="90" w:line="260" w:lineRule="exact"/>
        <w:ind w:left="142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4947D3" w:rsidTr="004947D3">
        <w:tc>
          <w:tcPr>
            <w:tcW w:w="3496" w:type="dxa"/>
          </w:tcPr>
          <w:p w:rsidR="004947D3" w:rsidRDefault="004947D3" w:rsidP="004947D3">
            <w:pPr>
              <w:pStyle w:val="Heading2"/>
              <w:spacing w:before="0" w:after="0"/>
              <w:jc w:val="both"/>
              <w:outlineLvl w:val="1"/>
              <w:rPr>
                <w:b w:val="0"/>
                <w:i w:val="0"/>
                <w:sz w:val="24"/>
                <w:szCs w:val="24"/>
              </w:rPr>
            </w:pPr>
          </w:p>
        </w:tc>
        <w:tc>
          <w:tcPr>
            <w:tcW w:w="1607" w:type="dxa"/>
          </w:tcPr>
          <w:p w:rsidR="004947D3" w:rsidRDefault="004947D3" w:rsidP="004947D3">
            <w:pPr>
              <w:pStyle w:val="Heading2"/>
              <w:spacing w:before="0" w:after="0"/>
              <w:jc w:val="right"/>
              <w:outlineLvl w:val="1"/>
              <w:rPr>
                <w:b w:val="0"/>
                <w:i w:val="0"/>
                <w:sz w:val="24"/>
                <w:szCs w:val="24"/>
              </w:rPr>
            </w:pPr>
          </w:p>
          <w:p w:rsidR="004947D3" w:rsidRDefault="004947D3" w:rsidP="004947D3">
            <w:pPr>
              <w:pStyle w:val="Heading2"/>
              <w:spacing w:before="0" w:after="0"/>
              <w:jc w:val="right"/>
              <w:outlineLvl w:val="1"/>
              <w:rPr>
                <w:b w:val="0"/>
                <w:i w:val="0"/>
                <w:sz w:val="24"/>
                <w:szCs w:val="24"/>
              </w:rPr>
            </w:pPr>
            <w:r>
              <w:rPr>
                <w:b w:val="0"/>
                <w:i w:val="0"/>
                <w:sz w:val="24"/>
                <w:szCs w:val="24"/>
              </w:rPr>
              <w:t>Under FRS Framework</w:t>
            </w:r>
          </w:p>
        </w:tc>
        <w:tc>
          <w:tcPr>
            <w:tcW w:w="1984" w:type="dxa"/>
          </w:tcPr>
          <w:p w:rsidR="004947D3" w:rsidRDefault="004947D3" w:rsidP="004947D3">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4947D3" w:rsidRDefault="004947D3" w:rsidP="004947D3">
            <w:pPr>
              <w:pStyle w:val="Heading2"/>
              <w:spacing w:before="0" w:after="0"/>
              <w:jc w:val="right"/>
              <w:outlineLvl w:val="1"/>
              <w:rPr>
                <w:b w:val="0"/>
                <w:i w:val="0"/>
                <w:sz w:val="24"/>
                <w:szCs w:val="24"/>
              </w:rPr>
            </w:pPr>
          </w:p>
          <w:p w:rsidR="004947D3" w:rsidRDefault="004947D3" w:rsidP="004947D3">
            <w:pPr>
              <w:pStyle w:val="Heading2"/>
              <w:spacing w:before="0" w:after="0"/>
              <w:jc w:val="right"/>
              <w:outlineLvl w:val="1"/>
              <w:rPr>
                <w:b w:val="0"/>
                <w:i w:val="0"/>
                <w:sz w:val="24"/>
                <w:szCs w:val="24"/>
              </w:rPr>
            </w:pPr>
            <w:r>
              <w:rPr>
                <w:b w:val="0"/>
                <w:i w:val="0"/>
                <w:sz w:val="24"/>
                <w:szCs w:val="24"/>
              </w:rPr>
              <w:t>Under MFRS Framework</w:t>
            </w:r>
          </w:p>
        </w:tc>
      </w:tr>
      <w:tr w:rsidR="004947D3" w:rsidRPr="002B2C6A" w:rsidTr="004947D3">
        <w:tc>
          <w:tcPr>
            <w:tcW w:w="3496" w:type="dxa"/>
            <w:shd w:val="clear" w:color="auto" w:fill="D9D9D9" w:themeFill="background1" w:themeFillShade="D9"/>
          </w:tcPr>
          <w:p w:rsidR="004947D3" w:rsidRPr="002B2C6A" w:rsidRDefault="004947D3" w:rsidP="004947D3">
            <w:pPr>
              <w:pStyle w:val="Heading2"/>
              <w:spacing w:before="0" w:after="0"/>
              <w:jc w:val="both"/>
              <w:outlineLvl w:val="1"/>
              <w:rPr>
                <w:i w:val="0"/>
                <w:sz w:val="24"/>
                <w:szCs w:val="24"/>
              </w:rPr>
            </w:pPr>
            <w:r w:rsidRPr="002B2C6A">
              <w:rPr>
                <w:i w:val="0"/>
                <w:sz w:val="24"/>
                <w:szCs w:val="24"/>
              </w:rPr>
              <w:t>ASSETS</w:t>
            </w:r>
          </w:p>
        </w:tc>
        <w:tc>
          <w:tcPr>
            <w:tcW w:w="1607" w:type="dxa"/>
            <w:shd w:val="clear" w:color="auto" w:fill="D9D9D9" w:themeFill="background1" w:themeFillShade="D9"/>
          </w:tcPr>
          <w:p w:rsidR="004947D3" w:rsidRPr="002B2C6A" w:rsidRDefault="004947D3" w:rsidP="004947D3">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4947D3" w:rsidRPr="002B2C6A" w:rsidRDefault="004947D3" w:rsidP="004947D3">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4947D3" w:rsidRPr="002B2C6A" w:rsidRDefault="004947D3" w:rsidP="004947D3">
            <w:pPr>
              <w:pStyle w:val="Heading2"/>
              <w:spacing w:before="0" w:after="0"/>
              <w:jc w:val="right"/>
              <w:outlineLvl w:val="1"/>
              <w:rPr>
                <w:i w:val="0"/>
                <w:sz w:val="24"/>
                <w:szCs w:val="24"/>
              </w:rPr>
            </w:pPr>
            <w:r w:rsidRPr="002B2C6A">
              <w:rPr>
                <w:i w:val="0"/>
                <w:sz w:val="24"/>
                <w:szCs w:val="24"/>
              </w:rPr>
              <w:t>RM’000</w:t>
            </w:r>
          </w:p>
        </w:tc>
      </w:tr>
      <w:tr w:rsidR="004947D3" w:rsidTr="004947D3">
        <w:tc>
          <w:tcPr>
            <w:tcW w:w="3496" w:type="dxa"/>
          </w:tcPr>
          <w:p w:rsidR="004947D3" w:rsidRPr="00E34A43" w:rsidRDefault="004947D3" w:rsidP="004947D3">
            <w:pPr>
              <w:pStyle w:val="Heading2"/>
              <w:spacing w:before="0" w:after="0"/>
              <w:jc w:val="both"/>
              <w:outlineLvl w:val="1"/>
              <w:rPr>
                <w:i w:val="0"/>
                <w:sz w:val="24"/>
                <w:szCs w:val="24"/>
              </w:rPr>
            </w:pPr>
            <w:r w:rsidRPr="00E34A43">
              <w:rPr>
                <w:i w:val="0"/>
                <w:sz w:val="24"/>
                <w:szCs w:val="24"/>
              </w:rPr>
              <w:t>Non-current assets</w:t>
            </w:r>
          </w:p>
        </w:tc>
        <w:tc>
          <w:tcPr>
            <w:tcW w:w="1607" w:type="dxa"/>
          </w:tcPr>
          <w:p w:rsidR="004947D3" w:rsidRDefault="004947D3" w:rsidP="004947D3">
            <w:pPr>
              <w:pStyle w:val="Heading2"/>
              <w:spacing w:before="0" w:after="0"/>
              <w:jc w:val="right"/>
              <w:outlineLvl w:val="1"/>
              <w:rPr>
                <w:b w:val="0"/>
                <w:i w:val="0"/>
                <w:sz w:val="24"/>
                <w:szCs w:val="24"/>
              </w:rPr>
            </w:pPr>
          </w:p>
        </w:tc>
        <w:tc>
          <w:tcPr>
            <w:tcW w:w="1984" w:type="dxa"/>
          </w:tcPr>
          <w:p w:rsidR="004947D3" w:rsidRDefault="004947D3" w:rsidP="004947D3">
            <w:pPr>
              <w:pStyle w:val="Heading2"/>
              <w:spacing w:before="0" w:after="0"/>
              <w:jc w:val="right"/>
              <w:outlineLvl w:val="1"/>
              <w:rPr>
                <w:b w:val="0"/>
                <w:i w:val="0"/>
                <w:sz w:val="24"/>
                <w:szCs w:val="24"/>
              </w:rPr>
            </w:pPr>
          </w:p>
        </w:tc>
        <w:tc>
          <w:tcPr>
            <w:tcW w:w="1530" w:type="dxa"/>
          </w:tcPr>
          <w:p w:rsidR="004947D3" w:rsidRDefault="004947D3" w:rsidP="004947D3">
            <w:pPr>
              <w:pStyle w:val="Heading2"/>
              <w:spacing w:before="0" w:after="0"/>
              <w:jc w:val="right"/>
              <w:outlineLvl w:val="1"/>
              <w:rPr>
                <w:b w:val="0"/>
                <w:i w:val="0"/>
                <w:sz w:val="24"/>
                <w:szCs w:val="24"/>
              </w:rPr>
            </w:pP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Property, plant and equipment</w:t>
            </w:r>
          </w:p>
        </w:tc>
        <w:tc>
          <w:tcPr>
            <w:tcW w:w="1607" w:type="dxa"/>
          </w:tcPr>
          <w:p w:rsidR="009D77DF" w:rsidRDefault="009D77DF" w:rsidP="00506611">
            <w:pPr>
              <w:pStyle w:val="Heading2"/>
              <w:spacing w:before="0" w:after="0"/>
              <w:jc w:val="right"/>
              <w:outlineLvl w:val="1"/>
              <w:rPr>
                <w:b w:val="0"/>
                <w:i w:val="0"/>
                <w:sz w:val="24"/>
                <w:szCs w:val="24"/>
              </w:rPr>
            </w:pPr>
            <w:r>
              <w:rPr>
                <w:b w:val="0"/>
                <w:i w:val="0"/>
                <w:sz w:val="24"/>
                <w:szCs w:val="24"/>
              </w:rPr>
              <w:t>164,72</w:t>
            </w:r>
            <w:r w:rsidR="00506611">
              <w:rPr>
                <w:b w:val="0"/>
                <w:i w:val="0"/>
                <w:sz w:val="24"/>
                <w:szCs w:val="24"/>
              </w:rPr>
              <w:t>6</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506611">
            <w:pPr>
              <w:pStyle w:val="Heading2"/>
              <w:spacing w:before="0" w:after="0"/>
              <w:jc w:val="right"/>
              <w:outlineLvl w:val="1"/>
              <w:rPr>
                <w:b w:val="0"/>
                <w:i w:val="0"/>
                <w:sz w:val="24"/>
                <w:szCs w:val="24"/>
              </w:rPr>
            </w:pPr>
            <w:r>
              <w:rPr>
                <w:b w:val="0"/>
                <w:i w:val="0"/>
                <w:sz w:val="24"/>
                <w:szCs w:val="24"/>
              </w:rPr>
              <w:t>164,72</w:t>
            </w:r>
            <w:r w:rsidR="00506611">
              <w:rPr>
                <w:b w:val="0"/>
                <w:i w:val="0"/>
                <w:sz w:val="24"/>
                <w:szCs w:val="24"/>
              </w:rPr>
              <w:t>6</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Investment properties</w:t>
            </w:r>
          </w:p>
        </w:tc>
        <w:tc>
          <w:tcPr>
            <w:tcW w:w="1607" w:type="dxa"/>
          </w:tcPr>
          <w:p w:rsidR="009D77DF" w:rsidRDefault="009D77DF" w:rsidP="004947D3">
            <w:pPr>
              <w:pStyle w:val="Heading2"/>
              <w:spacing w:before="0" w:after="0"/>
              <w:jc w:val="right"/>
              <w:outlineLvl w:val="1"/>
              <w:rPr>
                <w:b w:val="0"/>
                <w:i w:val="0"/>
                <w:sz w:val="24"/>
                <w:szCs w:val="24"/>
              </w:rPr>
            </w:pPr>
            <w:r>
              <w:rPr>
                <w:b w:val="0"/>
                <w:i w:val="0"/>
                <w:sz w:val="24"/>
                <w:szCs w:val="24"/>
              </w:rPr>
              <w:t>9,987</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pStyle w:val="Heading2"/>
              <w:spacing w:before="0" w:after="0"/>
              <w:jc w:val="right"/>
              <w:outlineLvl w:val="1"/>
              <w:rPr>
                <w:b w:val="0"/>
                <w:i w:val="0"/>
                <w:sz w:val="24"/>
                <w:szCs w:val="24"/>
              </w:rPr>
            </w:pPr>
            <w:r>
              <w:rPr>
                <w:b w:val="0"/>
                <w:i w:val="0"/>
                <w:sz w:val="24"/>
                <w:szCs w:val="24"/>
              </w:rPr>
              <w:t>9,987</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Prepaid land lease payments</w:t>
            </w:r>
          </w:p>
        </w:tc>
        <w:tc>
          <w:tcPr>
            <w:tcW w:w="1607" w:type="dxa"/>
          </w:tcPr>
          <w:p w:rsidR="009D77DF" w:rsidRDefault="009D77DF" w:rsidP="004947D3">
            <w:pPr>
              <w:pStyle w:val="Heading2"/>
              <w:spacing w:before="0" w:after="0"/>
              <w:jc w:val="right"/>
              <w:outlineLvl w:val="1"/>
              <w:rPr>
                <w:b w:val="0"/>
                <w:i w:val="0"/>
                <w:sz w:val="24"/>
                <w:szCs w:val="24"/>
              </w:rPr>
            </w:pPr>
            <w:r>
              <w:rPr>
                <w:b w:val="0"/>
                <w:i w:val="0"/>
                <w:sz w:val="24"/>
                <w:szCs w:val="24"/>
              </w:rPr>
              <w:t>42,394</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pStyle w:val="Heading2"/>
              <w:spacing w:before="0" w:after="0"/>
              <w:jc w:val="right"/>
              <w:outlineLvl w:val="1"/>
              <w:rPr>
                <w:b w:val="0"/>
                <w:i w:val="0"/>
                <w:sz w:val="24"/>
                <w:szCs w:val="24"/>
              </w:rPr>
            </w:pPr>
            <w:r>
              <w:rPr>
                <w:b w:val="0"/>
                <w:i w:val="0"/>
                <w:sz w:val="24"/>
                <w:szCs w:val="24"/>
              </w:rPr>
              <w:t>42,394</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Intangible assets</w:t>
            </w:r>
          </w:p>
        </w:tc>
        <w:tc>
          <w:tcPr>
            <w:tcW w:w="1607" w:type="dxa"/>
          </w:tcPr>
          <w:p w:rsidR="009D77DF" w:rsidRDefault="009D77DF" w:rsidP="00506611">
            <w:pPr>
              <w:pStyle w:val="Heading2"/>
              <w:spacing w:before="0" w:after="0"/>
              <w:jc w:val="right"/>
              <w:outlineLvl w:val="1"/>
              <w:rPr>
                <w:b w:val="0"/>
                <w:i w:val="0"/>
                <w:sz w:val="24"/>
                <w:szCs w:val="24"/>
              </w:rPr>
            </w:pPr>
            <w:r>
              <w:rPr>
                <w:b w:val="0"/>
                <w:i w:val="0"/>
                <w:sz w:val="24"/>
                <w:szCs w:val="24"/>
              </w:rPr>
              <w:t>94,59</w:t>
            </w:r>
            <w:r w:rsidR="00506611">
              <w:rPr>
                <w:b w:val="0"/>
                <w:i w:val="0"/>
                <w:sz w:val="24"/>
                <w:szCs w:val="24"/>
              </w:rPr>
              <w:t>2</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506611">
            <w:pPr>
              <w:pStyle w:val="Heading2"/>
              <w:spacing w:before="0" w:after="0"/>
              <w:jc w:val="right"/>
              <w:outlineLvl w:val="1"/>
              <w:rPr>
                <w:b w:val="0"/>
                <w:i w:val="0"/>
                <w:sz w:val="24"/>
                <w:szCs w:val="24"/>
              </w:rPr>
            </w:pPr>
            <w:r>
              <w:rPr>
                <w:b w:val="0"/>
                <w:i w:val="0"/>
                <w:sz w:val="24"/>
                <w:szCs w:val="24"/>
              </w:rPr>
              <w:t>94,59</w:t>
            </w:r>
            <w:r w:rsidR="00506611">
              <w:rPr>
                <w:b w:val="0"/>
                <w:i w:val="0"/>
                <w:sz w:val="24"/>
                <w:szCs w:val="24"/>
              </w:rPr>
              <w:t>2</w:t>
            </w:r>
          </w:p>
        </w:tc>
      </w:tr>
      <w:tr w:rsidR="009D77DF" w:rsidRPr="00E34A43"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Investment in jointly-controlled entity</w:t>
            </w:r>
          </w:p>
        </w:tc>
        <w:tc>
          <w:tcPr>
            <w:tcW w:w="1607" w:type="dxa"/>
          </w:tcPr>
          <w:p w:rsidR="009D77DF" w:rsidRPr="00E34A43" w:rsidRDefault="009D77DF" w:rsidP="004947D3">
            <w:pPr>
              <w:jc w:val="right"/>
              <w:rPr>
                <w:sz w:val="24"/>
                <w:szCs w:val="24"/>
              </w:rPr>
            </w:pPr>
          </w:p>
          <w:p w:rsidR="009D77DF" w:rsidRPr="00E34A43" w:rsidRDefault="009D77DF" w:rsidP="00506611">
            <w:pPr>
              <w:jc w:val="right"/>
              <w:rPr>
                <w:sz w:val="24"/>
                <w:szCs w:val="24"/>
              </w:rPr>
            </w:pPr>
            <w:r>
              <w:rPr>
                <w:sz w:val="24"/>
                <w:szCs w:val="24"/>
              </w:rPr>
              <w:t>2,58</w:t>
            </w:r>
            <w:r w:rsidR="00506611">
              <w:rPr>
                <w:sz w:val="24"/>
                <w:szCs w:val="24"/>
              </w:rPr>
              <w:t>3</w:t>
            </w:r>
          </w:p>
        </w:tc>
        <w:tc>
          <w:tcPr>
            <w:tcW w:w="1984" w:type="dxa"/>
          </w:tcPr>
          <w:p w:rsidR="009D77DF" w:rsidRDefault="009D77DF" w:rsidP="004947D3">
            <w:pPr>
              <w:pStyle w:val="Heading2"/>
              <w:spacing w:before="0" w:after="0"/>
              <w:jc w:val="right"/>
              <w:outlineLvl w:val="1"/>
              <w:rPr>
                <w:b w:val="0"/>
                <w:i w:val="0"/>
                <w:sz w:val="24"/>
                <w:szCs w:val="24"/>
              </w:rPr>
            </w:pPr>
          </w:p>
          <w:p w:rsidR="009D77DF" w:rsidRPr="00E34A43" w:rsidRDefault="009D77DF" w:rsidP="004947D3">
            <w:pPr>
              <w:jc w:val="right"/>
              <w:rPr>
                <w:sz w:val="24"/>
                <w:szCs w:val="24"/>
              </w:rPr>
            </w:pPr>
            <w:r>
              <w:rPr>
                <w:sz w:val="24"/>
                <w:szCs w:val="24"/>
              </w:rPr>
              <w:t>-</w:t>
            </w:r>
          </w:p>
        </w:tc>
        <w:tc>
          <w:tcPr>
            <w:tcW w:w="1530" w:type="dxa"/>
          </w:tcPr>
          <w:p w:rsidR="009D77DF" w:rsidRPr="00E34A43" w:rsidRDefault="009D77DF" w:rsidP="009D77DF">
            <w:pPr>
              <w:jc w:val="right"/>
              <w:rPr>
                <w:sz w:val="24"/>
                <w:szCs w:val="24"/>
              </w:rPr>
            </w:pPr>
          </w:p>
          <w:p w:rsidR="009D77DF" w:rsidRPr="00E34A43" w:rsidRDefault="009D77DF" w:rsidP="009D77DF">
            <w:pPr>
              <w:jc w:val="right"/>
              <w:rPr>
                <w:sz w:val="24"/>
                <w:szCs w:val="24"/>
              </w:rPr>
            </w:pPr>
            <w:r>
              <w:rPr>
                <w:sz w:val="24"/>
                <w:szCs w:val="24"/>
              </w:rPr>
              <w:t>2,58</w:t>
            </w:r>
            <w:r w:rsidR="00506611">
              <w:rPr>
                <w:sz w:val="24"/>
                <w:szCs w:val="24"/>
              </w:rPr>
              <w:t>3</w:t>
            </w:r>
          </w:p>
        </w:tc>
      </w:tr>
      <w:tr w:rsidR="009D77DF" w:rsidRPr="00E34A43"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Investment in associates</w:t>
            </w:r>
          </w:p>
        </w:tc>
        <w:tc>
          <w:tcPr>
            <w:tcW w:w="1607" w:type="dxa"/>
          </w:tcPr>
          <w:p w:rsidR="009D77DF" w:rsidRPr="00E34A43" w:rsidRDefault="009D77DF" w:rsidP="004947D3">
            <w:pPr>
              <w:jc w:val="right"/>
              <w:rPr>
                <w:sz w:val="24"/>
                <w:szCs w:val="24"/>
              </w:rPr>
            </w:pPr>
            <w:r>
              <w:rPr>
                <w:sz w:val="24"/>
                <w:szCs w:val="24"/>
              </w:rPr>
              <w:t>2,650</w:t>
            </w:r>
          </w:p>
        </w:tc>
        <w:tc>
          <w:tcPr>
            <w:tcW w:w="1984" w:type="dxa"/>
          </w:tcPr>
          <w:p w:rsidR="009D77DF" w:rsidRPr="00E34A43"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Pr="00E34A43" w:rsidRDefault="009D77DF" w:rsidP="009D77DF">
            <w:pPr>
              <w:jc w:val="right"/>
              <w:rPr>
                <w:sz w:val="24"/>
                <w:szCs w:val="24"/>
              </w:rPr>
            </w:pPr>
            <w:r>
              <w:rPr>
                <w:sz w:val="24"/>
                <w:szCs w:val="24"/>
              </w:rPr>
              <w:t>2,650</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Other investment</w:t>
            </w:r>
          </w:p>
        </w:tc>
        <w:tc>
          <w:tcPr>
            <w:tcW w:w="1607" w:type="dxa"/>
          </w:tcPr>
          <w:p w:rsidR="009D77DF" w:rsidRDefault="009D77DF" w:rsidP="004947D3">
            <w:pPr>
              <w:jc w:val="right"/>
              <w:rPr>
                <w:sz w:val="24"/>
                <w:szCs w:val="24"/>
              </w:rPr>
            </w:pPr>
            <w:r>
              <w:rPr>
                <w:sz w:val="24"/>
                <w:szCs w:val="24"/>
              </w:rPr>
              <w:t>652</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jc w:val="right"/>
              <w:rPr>
                <w:sz w:val="24"/>
                <w:szCs w:val="24"/>
              </w:rPr>
            </w:pPr>
            <w:r>
              <w:rPr>
                <w:sz w:val="24"/>
                <w:szCs w:val="24"/>
              </w:rPr>
              <w:t>652</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Deferred tax assets</w:t>
            </w:r>
          </w:p>
        </w:tc>
        <w:tc>
          <w:tcPr>
            <w:tcW w:w="1607" w:type="dxa"/>
            <w:tcBorders>
              <w:bottom w:val="single" w:sz="4" w:space="0" w:color="auto"/>
            </w:tcBorders>
          </w:tcPr>
          <w:p w:rsidR="009D77DF" w:rsidRDefault="00320EC3" w:rsidP="004947D3">
            <w:pPr>
              <w:jc w:val="right"/>
              <w:rPr>
                <w:sz w:val="24"/>
                <w:szCs w:val="24"/>
              </w:rPr>
            </w:pPr>
            <w:r>
              <w:rPr>
                <w:sz w:val="24"/>
                <w:szCs w:val="24"/>
              </w:rPr>
              <w:t>446</w:t>
            </w:r>
          </w:p>
        </w:tc>
        <w:tc>
          <w:tcPr>
            <w:tcW w:w="1984" w:type="dxa"/>
            <w:tcBorders>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9D77DF" w:rsidRDefault="00320EC3" w:rsidP="00320EC3">
            <w:pPr>
              <w:jc w:val="right"/>
              <w:rPr>
                <w:sz w:val="24"/>
                <w:szCs w:val="24"/>
              </w:rPr>
            </w:pPr>
            <w:r>
              <w:rPr>
                <w:sz w:val="24"/>
                <w:szCs w:val="24"/>
              </w:rPr>
              <w:t>44</w:t>
            </w:r>
            <w:r w:rsidR="009D77DF">
              <w:rPr>
                <w:sz w:val="24"/>
                <w:szCs w:val="24"/>
              </w:rPr>
              <w:t>6</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9D77DF" w:rsidRDefault="009D77DF" w:rsidP="00320EC3">
            <w:pPr>
              <w:jc w:val="right"/>
              <w:rPr>
                <w:sz w:val="24"/>
                <w:szCs w:val="24"/>
              </w:rPr>
            </w:pPr>
            <w:r>
              <w:rPr>
                <w:sz w:val="24"/>
                <w:szCs w:val="24"/>
              </w:rPr>
              <w:t>318,</w:t>
            </w:r>
            <w:r w:rsidR="00320EC3">
              <w:rPr>
                <w:sz w:val="24"/>
                <w:szCs w:val="24"/>
              </w:rPr>
              <w:t>03</w:t>
            </w:r>
            <w:r>
              <w:rPr>
                <w:sz w:val="24"/>
                <w:szCs w:val="24"/>
              </w:rPr>
              <w:t>0</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320EC3">
            <w:pPr>
              <w:jc w:val="right"/>
              <w:rPr>
                <w:sz w:val="24"/>
                <w:szCs w:val="24"/>
              </w:rPr>
            </w:pPr>
            <w:r>
              <w:rPr>
                <w:sz w:val="24"/>
                <w:szCs w:val="24"/>
              </w:rPr>
              <w:t>318,</w:t>
            </w:r>
            <w:r w:rsidR="00320EC3">
              <w:rPr>
                <w:sz w:val="24"/>
                <w:szCs w:val="24"/>
              </w:rPr>
              <w:t>030</w:t>
            </w:r>
          </w:p>
        </w:tc>
      </w:tr>
      <w:tr w:rsidR="004947D3" w:rsidTr="004947D3">
        <w:tc>
          <w:tcPr>
            <w:tcW w:w="3496" w:type="dxa"/>
          </w:tcPr>
          <w:p w:rsidR="004947D3" w:rsidRDefault="004947D3" w:rsidP="004947D3">
            <w:pPr>
              <w:pStyle w:val="Heading2"/>
              <w:spacing w:before="0" w:after="0"/>
              <w:jc w:val="both"/>
              <w:outlineLvl w:val="1"/>
              <w:rPr>
                <w:b w:val="0"/>
                <w:i w:val="0"/>
                <w:sz w:val="24"/>
                <w:szCs w:val="24"/>
              </w:rPr>
            </w:pPr>
          </w:p>
        </w:tc>
        <w:tc>
          <w:tcPr>
            <w:tcW w:w="1607" w:type="dxa"/>
            <w:tcBorders>
              <w:top w:val="single" w:sz="4" w:space="0" w:color="auto"/>
            </w:tcBorders>
          </w:tcPr>
          <w:p w:rsidR="004947D3" w:rsidRDefault="004947D3" w:rsidP="004947D3">
            <w:pPr>
              <w:jc w:val="right"/>
              <w:rPr>
                <w:sz w:val="24"/>
                <w:szCs w:val="24"/>
              </w:rPr>
            </w:pPr>
          </w:p>
        </w:tc>
        <w:tc>
          <w:tcPr>
            <w:tcW w:w="198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30"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4947D3">
        <w:tc>
          <w:tcPr>
            <w:tcW w:w="3496" w:type="dxa"/>
          </w:tcPr>
          <w:p w:rsidR="004947D3" w:rsidRPr="00E34A43" w:rsidRDefault="004947D3" w:rsidP="004947D3">
            <w:pPr>
              <w:pStyle w:val="Heading2"/>
              <w:spacing w:before="0" w:after="0"/>
              <w:jc w:val="both"/>
              <w:outlineLvl w:val="1"/>
              <w:rPr>
                <w:i w:val="0"/>
                <w:sz w:val="24"/>
                <w:szCs w:val="24"/>
              </w:rPr>
            </w:pPr>
            <w:r w:rsidRPr="00E34A43">
              <w:rPr>
                <w:i w:val="0"/>
                <w:sz w:val="24"/>
                <w:szCs w:val="24"/>
              </w:rPr>
              <w:t>Current assets</w:t>
            </w:r>
          </w:p>
        </w:tc>
        <w:tc>
          <w:tcPr>
            <w:tcW w:w="1607" w:type="dxa"/>
          </w:tcPr>
          <w:p w:rsidR="004947D3" w:rsidRDefault="004947D3" w:rsidP="004947D3">
            <w:pPr>
              <w:jc w:val="right"/>
              <w:rPr>
                <w:sz w:val="24"/>
                <w:szCs w:val="24"/>
              </w:rPr>
            </w:pPr>
          </w:p>
        </w:tc>
        <w:tc>
          <w:tcPr>
            <w:tcW w:w="1984" w:type="dxa"/>
          </w:tcPr>
          <w:p w:rsidR="004947D3" w:rsidRDefault="004947D3" w:rsidP="004947D3">
            <w:pPr>
              <w:pStyle w:val="Heading2"/>
              <w:spacing w:before="0" w:after="0"/>
              <w:jc w:val="right"/>
              <w:outlineLvl w:val="1"/>
              <w:rPr>
                <w:b w:val="0"/>
                <w:i w:val="0"/>
                <w:sz w:val="24"/>
                <w:szCs w:val="24"/>
              </w:rPr>
            </w:pPr>
          </w:p>
        </w:tc>
        <w:tc>
          <w:tcPr>
            <w:tcW w:w="1530" w:type="dxa"/>
          </w:tcPr>
          <w:p w:rsidR="004947D3" w:rsidRDefault="004947D3" w:rsidP="004947D3">
            <w:pPr>
              <w:pStyle w:val="Heading2"/>
              <w:spacing w:before="0" w:after="0"/>
              <w:jc w:val="right"/>
              <w:outlineLvl w:val="1"/>
              <w:rPr>
                <w:b w:val="0"/>
                <w:i w:val="0"/>
                <w:sz w:val="24"/>
                <w:szCs w:val="24"/>
              </w:rPr>
            </w:pPr>
          </w:p>
        </w:tc>
      </w:tr>
      <w:tr w:rsidR="009D77DF" w:rsidTr="004947D3">
        <w:tc>
          <w:tcPr>
            <w:tcW w:w="3496" w:type="dxa"/>
          </w:tcPr>
          <w:p w:rsidR="009D77DF" w:rsidRPr="00E34A43" w:rsidRDefault="009D77DF" w:rsidP="004947D3">
            <w:pPr>
              <w:pStyle w:val="Heading2"/>
              <w:spacing w:before="0" w:after="0"/>
              <w:jc w:val="both"/>
              <w:outlineLvl w:val="1"/>
              <w:rPr>
                <w:b w:val="0"/>
                <w:i w:val="0"/>
                <w:sz w:val="24"/>
                <w:szCs w:val="24"/>
              </w:rPr>
            </w:pPr>
            <w:r>
              <w:rPr>
                <w:b w:val="0"/>
                <w:i w:val="0"/>
                <w:sz w:val="24"/>
                <w:szCs w:val="24"/>
              </w:rPr>
              <w:t>Property development cost</w:t>
            </w:r>
          </w:p>
        </w:tc>
        <w:tc>
          <w:tcPr>
            <w:tcW w:w="1607" w:type="dxa"/>
          </w:tcPr>
          <w:p w:rsidR="009D77DF" w:rsidRDefault="009D77DF" w:rsidP="004947D3">
            <w:pPr>
              <w:jc w:val="right"/>
              <w:rPr>
                <w:sz w:val="24"/>
                <w:szCs w:val="24"/>
              </w:rPr>
            </w:pPr>
            <w:r>
              <w:rPr>
                <w:sz w:val="24"/>
                <w:szCs w:val="24"/>
              </w:rPr>
              <w:t>3,126</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jc w:val="right"/>
              <w:rPr>
                <w:sz w:val="24"/>
                <w:szCs w:val="24"/>
              </w:rPr>
            </w:pPr>
            <w:r>
              <w:rPr>
                <w:sz w:val="24"/>
                <w:szCs w:val="24"/>
              </w:rPr>
              <w:t>3,126</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Inventories</w:t>
            </w:r>
          </w:p>
        </w:tc>
        <w:tc>
          <w:tcPr>
            <w:tcW w:w="1607" w:type="dxa"/>
          </w:tcPr>
          <w:p w:rsidR="009D77DF" w:rsidRDefault="009D77DF" w:rsidP="00320EC3">
            <w:pPr>
              <w:jc w:val="right"/>
              <w:rPr>
                <w:sz w:val="24"/>
                <w:szCs w:val="24"/>
              </w:rPr>
            </w:pPr>
            <w:r>
              <w:rPr>
                <w:sz w:val="24"/>
                <w:szCs w:val="24"/>
              </w:rPr>
              <w:t>2,</w:t>
            </w:r>
            <w:r w:rsidR="00320EC3">
              <w:rPr>
                <w:sz w:val="24"/>
                <w:szCs w:val="24"/>
              </w:rPr>
              <w:t>788</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320EC3">
            <w:pPr>
              <w:jc w:val="right"/>
              <w:rPr>
                <w:sz w:val="24"/>
                <w:szCs w:val="24"/>
              </w:rPr>
            </w:pPr>
            <w:r>
              <w:rPr>
                <w:sz w:val="24"/>
                <w:szCs w:val="24"/>
              </w:rPr>
              <w:t>2,</w:t>
            </w:r>
            <w:r w:rsidR="00320EC3">
              <w:rPr>
                <w:sz w:val="24"/>
                <w:szCs w:val="24"/>
              </w:rPr>
              <w:t>788</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Trade and other receivables</w:t>
            </w:r>
          </w:p>
        </w:tc>
        <w:tc>
          <w:tcPr>
            <w:tcW w:w="1607" w:type="dxa"/>
          </w:tcPr>
          <w:p w:rsidR="009D77DF" w:rsidRDefault="00320EC3" w:rsidP="00320EC3">
            <w:pPr>
              <w:jc w:val="right"/>
              <w:rPr>
                <w:sz w:val="24"/>
                <w:szCs w:val="24"/>
              </w:rPr>
            </w:pPr>
            <w:r>
              <w:rPr>
                <w:sz w:val="24"/>
                <w:szCs w:val="24"/>
              </w:rPr>
              <w:t>113</w:t>
            </w:r>
            <w:r w:rsidR="009D77DF">
              <w:rPr>
                <w:sz w:val="24"/>
                <w:szCs w:val="24"/>
              </w:rPr>
              <w:t>,</w:t>
            </w:r>
            <w:r>
              <w:rPr>
                <w:sz w:val="24"/>
                <w:szCs w:val="24"/>
              </w:rPr>
              <w:t>581</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320EC3">
            <w:pPr>
              <w:jc w:val="right"/>
              <w:rPr>
                <w:sz w:val="24"/>
                <w:szCs w:val="24"/>
              </w:rPr>
            </w:pPr>
            <w:r>
              <w:rPr>
                <w:sz w:val="24"/>
                <w:szCs w:val="24"/>
              </w:rPr>
              <w:t>1</w:t>
            </w:r>
            <w:r w:rsidR="00320EC3">
              <w:rPr>
                <w:sz w:val="24"/>
                <w:szCs w:val="24"/>
              </w:rPr>
              <w:t>13</w:t>
            </w:r>
            <w:r>
              <w:rPr>
                <w:sz w:val="24"/>
                <w:szCs w:val="24"/>
              </w:rPr>
              <w:t>,</w:t>
            </w:r>
            <w:r w:rsidR="00320EC3">
              <w:rPr>
                <w:sz w:val="24"/>
                <w:szCs w:val="24"/>
              </w:rPr>
              <w:t>581</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Other current assets</w:t>
            </w:r>
          </w:p>
        </w:tc>
        <w:tc>
          <w:tcPr>
            <w:tcW w:w="1607" w:type="dxa"/>
          </w:tcPr>
          <w:p w:rsidR="009D77DF" w:rsidRDefault="00320EC3" w:rsidP="00320EC3">
            <w:pPr>
              <w:jc w:val="right"/>
              <w:rPr>
                <w:sz w:val="24"/>
                <w:szCs w:val="24"/>
              </w:rPr>
            </w:pPr>
            <w:r>
              <w:rPr>
                <w:sz w:val="24"/>
                <w:szCs w:val="24"/>
              </w:rPr>
              <w:t>1</w:t>
            </w:r>
            <w:r w:rsidR="009D77DF">
              <w:rPr>
                <w:sz w:val="24"/>
                <w:szCs w:val="24"/>
              </w:rPr>
              <w:t>2</w:t>
            </w:r>
            <w:r>
              <w:rPr>
                <w:sz w:val="24"/>
                <w:szCs w:val="24"/>
              </w:rPr>
              <w:t>,109</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320EC3" w:rsidP="00320EC3">
            <w:pPr>
              <w:jc w:val="right"/>
              <w:rPr>
                <w:sz w:val="24"/>
                <w:szCs w:val="24"/>
              </w:rPr>
            </w:pPr>
            <w:r>
              <w:rPr>
                <w:sz w:val="24"/>
                <w:szCs w:val="24"/>
              </w:rPr>
              <w:t>1</w:t>
            </w:r>
            <w:r w:rsidR="009D77DF">
              <w:rPr>
                <w:sz w:val="24"/>
                <w:szCs w:val="24"/>
              </w:rPr>
              <w:t>2,</w:t>
            </w:r>
            <w:r>
              <w:rPr>
                <w:sz w:val="24"/>
                <w:szCs w:val="24"/>
              </w:rPr>
              <w:t>109</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Cash and bank balance</w:t>
            </w:r>
          </w:p>
        </w:tc>
        <w:tc>
          <w:tcPr>
            <w:tcW w:w="1607" w:type="dxa"/>
            <w:tcBorders>
              <w:bottom w:val="single" w:sz="4" w:space="0" w:color="auto"/>
            </w:tcBorders>
          </w:tcPr>
          <w:p w:rsidR="009D77DF" w:rsidRDefault="009D77DF" w:rsidP="004947D3">
            <w:pPr>
              <w:jc w:val="right"/>
              <w:rPr>
                <w:sz w:val="24"/>
                <w:szCs w:val="24"/>
              </w:rPr>
            </w:pPr>
            <w:r>
              <w:rPr>
                <w:sz w:val="24"/>
                <w:szCs w:val="24"/>
              </w:rPr>
              <w:t>65,608</w:t>
            </w:r>
          </w:p>
        </w:tc>
        <w:tc>
          <w:tcPr>
            <w:tcW w:w="1984" w:type="dxa"/>
            <w:tcBorders>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9D77DF" w:rsidRDefault="009D77DF" w:rsidP="009D77DF">
            <w:pPr>
              <w:jc w:val="right"/>
              <w:rPr>
                <w:sz w:val="24"/>
                <w:szCs w:val="24"/>
              </w:rPr>
            </w:pPr>
            <w:r>
              <w:rPr>
                <w:sz w:val="24"/>
                <w:szCs w:val="24"/>
              </w:rPr>
              <w:t>65,608</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9D77DF" w:rsidRDefault="009D77DF" w:rsidP="00320EC3">
            <w:pPr>
              <w:jc w:val="right"/>
              <w:rPr>
                <w:sz w:val="24"/>
                <w:szCs w:val="24"/>
              </w:rPr>
            </w:pPr>
            <w:r>
              <w:rPr>
                <w:sz w:val="24"/>
                <w:szCs w:val="24"/>
              </w:rPr>
              <w:t>197,</w:t>
            </w:r>
            <w:r w:rsidR="00320EC3">
              <w:rPr>
                <w:sz w:val="24"/>
                <w:szCs w:val="24"/>
              </w:rPr>
              <w:t>212</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320EC3">
            <w:pPr>
              <w:jc w:val="right"/>
              <w:rPr>
                <w:sz w:val="24"/>
                <w:szCs w:val="24"/>
              </w:rPr>
            </w:pPr>
            <w:r>
              <w:rPr>
                <w:sz w:val="24"/>
                <w:szCs w:val="24"/>
              </w:rPr>
              <w:t>197,</w:t>
            </w:r>
            <w:r w:rsidR="00320EC3">
              <w:rPr>
                <w:sz w:val="24"/>
                <w:szCs w:val="24"/>
              </w:rPr>
              <w:t>212</w:t>
            </w:r>
          </w:p>
        </w:tc>
      </w:tr>
      <w:tr w:rsidR="009D77DF" w:rsidTr="004947D3">
        <w:tc>
          <w:tcPr>
            <w:tcW w:w="3496" w:type="dxa"/>
          </w:tcPr>
          <w:p w:rsidR="009D77DF" w:rsidRPr="00E34A43" w:rsidRDefault="009D77DF" w:rsidP="004947D3">
            <w:pPr>
              <w:pStyle w:val="Heading2"/>
              <w:spacing w:before="0" w:after="0"/>
              <w:jc w:val="both"/>
              <w:outlineLvl w:val="1"/>
              <w:rPr>
                <w:i w:val="0"/>
                <w:sz w:val="24"/>
                <w:szCs w:val="24"/>
              </w:rPr>
            </w:pPr>
            <w:r>
              <w:rPr>
                <w:i w:val="0"/>
                <w:sz w:val="24"/>
                <w:szCs w:val="24"/>
              </w:rPr>
              <w:t>TOTAL ASSETS</w:t>
            </w:r>
          </w:p>
        </w:tc>
        <w:tc>
          <w:tcPr>
            <w:tcW w:w="1607" w:type="dxa"/>
            <w:tcBorders>
              <w:top w:val="single" w:sz="4" w:space="0" w:color="auto"/>
              <w:bottom w:val="single" w:sz="4" w:space="0" w:color="auto"/>
            </w:tcBorders>
          </w:tcPr>
          <w:p w:rsidR="009D77DF" w:rsidRDefault="009D77DF" w:rsidP="00320EC3">
            <w:pPr>
              <w:jc w:val="right"/>
              <w:rPr>
                <w:sz w:val="24"/>
                <w:szCs w:val="24"/>
              </w:rPr>
            </w:pPr>
            <w:r>
              <w:rPr>
                <w:sz w:val="24"/>
                <w:szCs w:val="24"/>
              </w:rPr>
              <w:t>515,</w:t>
            </w:r>
            <w:r w:rsidR="00320EC3">
              <w:rPr>
                <w:sz w:val="24"/>
                <w:szCs w:val="24"/>
              </w:rPr>
              <w:t>242</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320EC3">
            <w:pPr>
              <w:jc w:val="right"/>
              <w:rPr>
                <w:sz w:val="24"/>
                <w:szCs w:val="24"/>
              </w:rPr>
            </w:pPr>
            <w:r>
              <w:rPr>
                <w:sz w:val="24"/>
                <w:szCs w:val="24"/>
              </w:rPr>
              <w:t>515,</w:t>
            </w:r>
            <w:r w:rsidR="00320EC3">
              <w:rPr>
                <w:sz w:val="24"/>
                <w:szCs w:val="24"/>
              </w:rPr>
              <w:t>242</w:t>
            </w:r>
          </w:p>
        </w:tc>
      </w:tr>
      <w:tr w:rsidR="004947D3" w:rsidTr="004947D3">
        <w:tc>
          <w:tcPr>
            <w:tcW w:w="3496" w:type="dxa"/>
          </w:tcPr>
          <w:p w:rsidR="004947D3" w:rsidRDefault="004947D3" w:rsidP="004947D3">
            <w:pPr>
              <w:pStyle w:val="Heading2"/>
              <w:spacing w:before="0" w:after="0"/>
              <w:jc w:val="both"/>
              <w:outlineLvl w:val="1"/>
              <w:rPr>
                <w:i w:val="0"/>
                <w:sz w:val="24"/>
                <w:szCs w:val="24"/>
              </w:rPr>
            </w:pPr>
          </w:p>
        </w:tc>
        <w:tc>
          <w:tcPr>
            <w:tcW w:w="1607" w:type="dxa"/>
            <w:tcBorders>
              <w:top w:val="single" w:sz="4" w:space="0" w:color="auto"/>
            </w:tcBorders>
          </w:tcPr>
          <w:p w:rsidR="004947D3" w:rsidRDefault="004947D3" w:rsidP="004947D3">
            <w:pPr>
              <w:jc w:val="right"/>
              <w:rPr>
                <w:sz w:val="24"/>
                <w:szCs w:val="24"/>
              </w:rPr>
            </w:pPr>
          </w:p>
        </w:tc>
        <w:tc>
          <w:tcPr>
            <w:tcW w:w="198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30"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4947D3">
        <w:tc>
          <w:tcPr>
            <w:tcW w:w="3496" w:type="dxa"/>
          </w:tcPr>
          <w:p w:rsidR="004947D3" w:rsidRPr="00E34A43" w:rsidRDefault="004947D3" w:rsidP="004947D3">
            <w:pPr>
              <w:pStyle w:val="Heading2"/>
              <w:spacing w:before="0" w:after="0"/>
              <w:jc w:val="both"/>
              <w:outlineLvl w:val="1"/>
              <w:rPr>
                <w:i w:val="0"/>
                <w:sz w:val="24"/>
                <w:szCs w:val="24"/>
              </w:rPr>
            </w:pPr>
            <w:r>
              <w:rPr>
                <w:i w:val="0"/>
                <w:sz w:val="24"/>
                <w:szCs w:val="24"/>
              </w:rPr>
              <w:t>LIABILITIES</w:t>
            </w:r>
          </w:p>
        </w:tc>
        <w:tc>
          <w:tcPr>
            <w:tcW w:w="1607" w:type="dxa"/>
          </w:tcPr>
          <w:p w:rsidR="004947D3" w:rsidRDefault="004947D3" w:rsidP="004947D3">
            <w:pPr>
              <w:jc w:val="right"/>
              <w:rPr>
                <w:sz w:val="24"/>
                <w:szCs w:val="24"/>
              </w:rPr>
            </w:pPr>
          </w:p>
        </w:tc>
        <w:tc>
          <w:tcPr>
            <w:tcW w:w="1984" w:type="dxa"/>
          </w:tcPr>
          <w:p w:rsidR="004947D3" w:rsidRDefault="004947D3" w:rsidP="004947D3">
            <w:pPr>
              <w:pStyle w:val="Heading2"/>
              <w:spacing w:before="0" w:after="0"/>
              <w:jc w:val="right"/>
              <w:outlineLvl w:val="1"/>
              <w:rPr>
                <w:b w:val="0"/>
                <w:i w:val="0"/>
                <w:sz w:val="24"/>
                <w:szCs w:val="24"/>
              </w:rPr>
            </w:pPr>
          </w:p>
        </w:tc>
        <w:tc>
          <w:tcPr>
            <w:tcW w:w="1530" w:type="dxa"/>
          </w:tcPr>
          <w:p w:rsidR="004947D3" w:rsidRDefault="004947D3" w:rsidP="004947D3">
            <w:pPr>
              <w:pStyle w:val="Heading2"/>
              <w:spacing w:before="0" w:after="0"/>
              <w:jc w:val="right"/>
              <w:outlineLvl w:val="1"/>
              <w:rPr>
                <w:b w:val="0"/>
                <w:i w:val="0"/>
                <w:sz w:val="24"/>
                <w:szCs w:val="24"/>
              </w:rPr>
            </w:pPr>
          </w:p>
        </w:tc>
      </w:tr>
      <w:tr w:rsidR="004947D3" w:rsidTr="004947D3">
        <w:tc>
          <w:tcPr>
            <w:tcW w:w="3496" w:type="dxa"/>
          </w:tcPr>
          <w:p w:rsidR="004947D3" w:rsidRDefault="004947D3" w:rsidP="004947D3">
            <w:pPr>
              <w:pStyle w:val="Heading2"/>
              <w:spacing w:before="0" w:after="0"/>
              <w:jc w:val="both"/>
              <w:outlineLvl w:val="1"/>
              <w:rPr>
                <w:i w:val="0"/>
                <w:sz w:val="24"/>
                <w:szCs w:val="24"/>
              </w:rPr>
            </w:pPr>
            <w:r>
              <w:rPr>
                <w:i w:val="0"/>
                <w:sz w:val="24"/>
                <w:szCs w:val="24"/>
              </w:rPr>
              <w:t>Current liabilities</w:t>
            </w:r>
          </w:p>
        </w:tc>
        <w:tc>
          <w:tcPr>
            <w:tcW w:w="1607" w:type="dxa"/>
          </w:tcPr>
          <w:p w:rsidR="004947D3" w:rsidRDefault="004947D3" w:rsidP="004947D3">
            <w:pPr>
              <w:jc w:val="right"/>
              <w:rPr>
                <w:sz w:val="24"/>
                <w:szCs w:val="24"/>
              </w:rPr>
            </w:pPr>
          </w:p>
        </w:tc>
        <w:tc>
          <w:tcPr>
            <w:tcW w:w="1984" w:type="dxa"/>
          </w:tcPr>
          <w:p w:rsidR="004947D3" w:rsidRDefault="004947D3" w:rsidP="004947D3">
            <w:pPr>
              <w:pStyle w:val="Heading2"/>
              <w:spacing w:before="0" w:after="0"/>
              <w:jc w:val="right"/>
              <w:outlineLvl w:val="1"/>
              <w:rPr>
                <w:b w:val="0"/>
                <w:i w:val="0"/>
                <w:sz w:val="24"/>
                <w:szCs w:val="24"/>
              </w:rPr>
            </w:pPr>
          </w:p>
        </w:tc>
        <w:tc>
          <w:tcPr>
            <w:tcW w:w="1530" w:type="dxa"/>
          </w:tcPr>
          <w:p w:rsidR="004947D3" w:rsidRDefault="004947D3" w:rsidP="004947D3">
            <w:pPr>
              <w:pStyle w:val="Heading2"/>
              <w:spacing w:before="0" w:after="0"/>
              <w:jc w:val="right"/>
              <w:outlineLvl w:val="1"/>
              <w:rPr>
                <w:b w:val="0"/>
                <w:i w:val="0"/>
                <w:sz w:val="24"/>
                <w:szCs w:val="24"/>
              </w:rPr>
            </w:pPr>
          </w:p>
        </w:tc>
      </w:tr>
      <w:tr w:rsidR="009D77DF" w:rsidTr="004947D3">
        <w:tc>
          <w:tcPr>
            <w:tcW w:w="3496" w:type="dxa"/>
          </w:tcPr>
          <w:p w:rsidR="009D77DF" w:rsidRPr="00E34A43" w:rsidRDefault="009D77DF" w:rsidP="004947D3">
            <w:pPr>
              <w:pStyle w:val="Heading2"/>
              <w:spacing w:before="0" w:after="0"/>
              <w:jc w:val="both"/>
              <w:outlineLvl w:val="1"/>
              <w:rPr>
                <w:b w:val="0"/>
                <w:i w:val="0"/>
                <w:sz w:val="24"/>
                <w:szCs w:val="24"/>
              </w:rPr>
            </w:pPr>
            <w:r>
              <w:rPr>
                <w:b w:val="0"/>
                <w:i w:val="0"/>
                <w:sz w:val="24"/>
                <w:szCs w:val="24"/>
              </w:rPr>
              <w:t>Loans and borrowings</w:t>
            </w:r>
          </w:p>
        </w:tc>
        <w:tc>
          <w:tcPr>
            <w:tcW w:w="1607" w:type="dxa"/>
          </w:tcPr>
          <w:p w:rsidR="009D77DF" w:rsidRDefault="009D77DF" w:rsidP="004947D3">
            <w:pPr>
              <w:jc w:val="right"/>
              <w:rPr>
                <w:sz w:val="24"/>
                <w:szCs w:val="24"/>
              </w:rPr>
            </w:pPr>
            <w:r>
              <w:rPr>
                <w:sz w:val="24"/>
                <w:szCs w:val="24"/>
              </w:rPr>
              <w:t>40,823</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jc w:val="right"/>
              <w:rPr>
                <w:sz w:val="24"/>
                <w:szCs w:val="24"/>
              </w:rPr>
            </w:pPr>
            <w:r>
              <w:rPr>
                <w:sz w:val="24"/>
                <w:szCs w:val="24"/>
              </w:rPr>
              <w:t>40,823</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Trade and other payables</w:t>
            </w:r>
          </w:p>
        </w:tc>
        <w:tc>
          <w:tcPr>
            <w:tcW w:w="1607" w:type="dxa"/>
          </w:tcPr>
          <w:p w:rsidR="009D77DF" w:rsidRDefault="009D77DF" w:rsidP="00EF2A75">
            <w:pPr>
              <w:jc w:val="right"/>
              <w:rPr>
                <w:sz w:val="24"/>
                <w:szCs w:val="24"/>
              </w:rPr>
            </w:pPr>
            <w:r>
              <w:rPr>
                <w:sz w:val="24"/>
                <w:szCs w:val="24"/>
              </w:rPr>
              <w:t>106,</w:t>
            </w:r>
            <w:r w:rsidR="00EF2A75">
              <w:rPr>
                <w:sz w:val="24"/>
                <w:szCs w:val="24"/>
              </w:rPr>
              <w:t>722</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EF2A75">
            <w:pPr>
              <w:jc w:val="right"/>
              <w:rPr>
                <w:sz w:val="24"/>
                <w:szCs w:val="24"/>
              </w:rPr>
            </w:pPr>
            <w:r>
              <w:rPr>
                <w:sz w:val="24"/>
                <w:szCs w:val="24"/>
              </w:rPr>
              <w:t>106,</w:t>
            </w:r>
            <w:r w:rsidR="00EF2A75">
              <w:rPr>
                <w:sz w:val="24"/>
                <w:szCs w:val="24"/>
              </w:rPr>
              <w:t>722</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Other current liabilities</w:t>
            </w:r>
          </w:p>
        </w:tc>
        <w:tc>
          <w:tcPr>
            <w:tcW w:w="1607" w:type="dxa"/>
          </w:tcPr>
          <w:p w:rsidR="009D77DF" w:rsidRDefault="009D77DF" w:rsidP="004947D3">
            <w:pPr>
              <w:jc w:val="right"/>
              <w:rPr>
                <w:sz w:val="24"/>
                <w:szCs w:val="24"/>
              </w:rPr>
            </w:pPr>
            <w:r>
              <w:rPr>
                <w:sz w:val="24"/>
                <w:szCs w:val="24"/>
              </w:rPr>
              <w:t>1,289</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9D77DF">
            <w:pPr>
              <w:jc w:val="right"/>
              <w:rPr>
                <w:sz w:val="24"/>
                <w:szCs w:val="24"/>
              </w:rPr>
            </w:pPr>
            <w:r>
              <w:rPr>
                <w:sz w:val="24"/>
                <w:szCs w:val="24"/>
              </w:rPr>
              <w:t>1,289</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Tax payables</w:t>
            </w:r>
          </w:p>
        </w:tc>
        <w:tc>
          <w:tcPr>
            <w:tcW w:w="1607" w:type="dxa"/>
            <w:tcBorders>
              <w:bottom w:val="single" w:sz="4" w:space="0" w:color="auto"/>
            </w:tcBorders>
          </w:tcPr>
          <w:p w:rsidR="009D77DF" w:rsidRDefault="009D77DF" w:rsidP="00EF2A75">
            <w:pPr>
              <w:jc w:val="right"/>
              <w:rPr>
                <w:sz w:val="24"/>
                <w:szCs w:val="24"/>
              </w:rPr>
            </w:pPr>
            <w:r>
              <w:rPr>
                <w:sz w:val="24"/>
                <w:szCs w:val="24"/>
              </w:rPr>
              <w:t>2,</w:t>
            </w:r>
            <w:r w:rsidR="00320EC3">
              <w:rPr>
                <w:sz w:val="24"/>
                <w:szCs w:val="24"/>
              </w:rPr>
              <w:t>62</w:t>
            </w:r>
            <w:r w:rsidR="00EF2A75">
              <w:rPr>
                <w:sz w:val="24"/>
                <w:szCs w:val="24"/>
              </w:rPr>
              <w:t>2</w:t>
            </w:r>
          </w:p>
        </w:tc>
        <w:tc>
          <w:tcPr>
            <w:tcW w:w="1984" w:type="dxa"/>
            <w:tcBorders>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9D77DF" w:rsidRDefault="009D77DF" w:rsidP="00EF2A75">
            <w:pPr>
              <w:jc w:val="right"/>
              <w:rPr>
                <w:sz w:val="24"/>
                <w:szCs w:val="24"/>
              </w:rPr>
            </w:pPr>
            <w:r>
              <w:rPr>
                <w:sz w:val="24"/>
                <w:szCs w:val="24"/>
              </w:rPr>
              <w:t>2,</w:t>
            </w:r>
            <w:r w:rsidR="00320EC3">
              <w:rPr>
                <w:sz w:val="24"/>
                <w:szCs w:val="24"/>
              </w:rPr>
              <w:t>62</w:t>
            </w:r>
            <w:r w:rsidR="00EF2A75">
              <w:rPr>
                <w:sz w:val="24"/>
                <w:szCs w:val="24"/>
              </w:rPr>
              <w:t>2</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p>
        </w:tc>
        <w:tc>
          <w:tcPr>
            <w:tcW w:w="1607" w:type="dxa"/>
            <w:tcBorders>
              <w:top w:val="single" w:sz="4" w:space="0" w:color="auto"/>
              <w:bottom w:val="single" w:sz="4" w:space="0" w:color="auto"/>
            </w:tcBorders>
          </w:tcPr>
          <w:p w:rsidR="009D77DF" w:rsidRDefault="009D77DF" w:rsidP="00EF2A75">
            <w:pPr>
              <w:jc w:val="right"/>
              <w:rPr>
                <w:sz w:val="24"/>
                <w:szCs w:val="24"/>
              </w:rPr>
            </w:pPr>
            <w:r>
              <w:rPr>
                <w:sz w:val="24"/>
                <w:szCs w:val="24"/>
              </w:rPr>
              <w:t>151,</w:t>
            </w:r>
            <w:r w:rsidR="00EF2A75">
              <w:rPr>
                <w:sz w:val="24"/>
                <w:szCs w:val="24"/>
              </w:rPr>
              <w:t>456</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EF2A75">
            <w:pPr>
              <w:jc w:val="right"/>
              <w:rPr>
                <w:sz w:val="24"/>
                <w:szCs w:val="24"/>
              </w:rPr>
            </w:pPr>
            <w:r>
              <w:rPr>
                <w:sz w:val="24"/>
                <w:szCs w:val="24"/>
              </w:rPr>
              <w:t>151,</w:t>
            </w:r>
            <w:r w:rsidR="00EF2A75">
              <w:rPr>
                <w:sz w:val="24"/>
                <w:szCs w:val="24"/>
              </w:rPr>
              <w:t>456</w:t>
            </w:r>
          </w:p>
        </w:tc>
      </w:tr>
      <w:tr w:rsidR="004947D3" w:rsidTr="004947D3">
        <w:tc>
          <w:tcPr>
            <w:tcW w:w="3496" w:type="dxa"/>
          </w:tcPr>
          <w:p w:rsidR="004947D3" w:rsidRDefault="004947D3" w:rsidP="004947D3">
            <w:pPr>
              <w:pStyle w:val="Heading2"/>
              <w:spacing w:before="0" w:after="0"/>
              <w:jc w:val="both"/>
              <w:outlineLvl w:val="1"/>
              <w:rPr>
                <w:b w:val="0"/>
                <w:i w:val="0"/>
                <w:sz w:val="24"/>
                <w:szCs w:val="24"/>
              </w:rPr>
            </w:pPr>
          </w:p>
        </w:tc>
        <w:tc>
          <w:tcPr>
            <w:tcW w:w="1607" w:type="dxa"/>
            <w:tcBorders>
              <w:top w:val="single" w:sz="4" w:space="0" w:color="auto"/>
            </w:tcBorders>
          </w:tcPr>
          <w:p w:rsidR="004947D3" w:rsidRDefault="004947D3" w:rsidP="004947D3">
            <w:pPr>
              <w:jc w:val="right"/>
              <w:rPr>
                <w:sz w:val="24"/>
                <w:szCs w:val="24"/>
              </w:rPr>
            </w:pPr>
          </w:p>
        </w:tc>
        <w:tc>
          <w:tcPr>
            <w:tcW w:w="198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30"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4947D3">
        <w:tc>
          <w:tcPr>
            <w:tcW w:w="3496" w:type="dxa"/>
          </w:tcPr>
          <w:p w:rsidR="004947D3" w:rsidRPr="00E34A43" w:rsidRDefault="004947D3" w:rsidP="004947D3">
            <w:pPr>
              <w:pStyle w:val="Heading2"/>
              <w:spacing w:before="0" w:after="0"/>
              <w:jc w:val="both"/>
              <w:outlineLvl w:val="1"/>
              <w:rPr>
                <w:i w:val="0"/>
                <w:sz w:val="24"/>
                <w:szCs w:val="24"/>
              </w:rPr>
            </w:pPr>
            <w:r>
              <w:rPr>
                <w:i w:val="0"/>
                <w:sz w:val="24"/>
                <w:szCs w:val="24"/>
              </w:rPr>
              <w:t>Non-current liabilities</w:t>
            </w:r>
          </w:p>
        </w:tc>
        <w:tc>
          <w:tcPr>
            <w:tcW w:w="1607" w:type="dxa"/>
          </w:tcPr>
          <w:p w:rsidR="004947D3" w:rsidRDefault="004947D3" w:rsidP="004947D3">
            <w:pPr>
              <w:jc w:val="right"/>
              <w:rPr>
                <w:sz w:val="24"/>
                <w:szCs w:val="24"/>
              </w:rPr>
            </w:pPr>
          </w:p>
        </w:tc>
        <w:tc>
          <w:tcPr>
            <w:tcW w:w="1984" w:type="dxa"/>
          </w:tcPr>
          <w:p w:rsidR="004947D3" w:rsidRDefault="004947D3" w:rsidP="004947D3">
            <w:pPr>
              <w:pStyle w:val="Heading2"/>
              <w:spacing w:before="0" w:after="0"/>
              <w:jc w:val="right"/>
              <w:outlineLvl w:val="1"/>
              <w:rPr>
                <w:b w:val="0"/>
                <w:i w:val="0"/>
                <w:sz w:val="24"/>
                <w:szCs w:val="24"/>
              </w:rPr>
            </w:pPr>
          </w:p>
        </w:tc>
        <w:tc>
          <w:tcPr>
            <w:tcW w:w="1530" w:type="dxa"/>
          </w:tcPr>
          <w:p w:rsidR="004947D3" w:rsidRDefault="004947D3" w:rsidP="004947D3">
            <w:pPr>
              <w:pStyle w:val="Heading2"/>
              <w:spacing w:before="0" w:after="0"/>
              <w:jc w:val="right"/>
              <w:outlineLvl w:val="1"/>
              <w:rPr>
                <w:b w:val="0"/>
                <w:i w:val="0"/>
                <w:sz w:val="24"/>
                <w:szCs w:val="24"/>
              </w:rPr>
            </w:pPr>
          </w:p>
        </w:tc>
      </w:tr>
      <w:tr w:rsidR="009D77DF" w:rsidTr="004947D3">
        <w:tc>
          <w:tcPr>
            <w:tcW w:w="3496" w:type="dxa"/>
          </w:tcPr>
          <w:p w:rsidR="009D77DF" w:rsidRPr="002B2C6A" w:rsidRDefault="009D77DF" w:rsidP="004947D3">
            <w:pPr>
              <w:pStyle w:val="Heading2"/>
              <w:spacing w:before="0" w:after="0"/>
              <w:jc w:val="both"/>
              <w:outlineLvl w:val="1"/>
              <w:rPr>
                <w:b w:val="0"/>
                <w:i w:val="0"/>
                <w:sz w:val="24"/>
                <w:szCs w:val="24"/>
              </w:rPr>
            </w:pPr>
            <w:r>
              <w:rPr>
                <w:b w:val="0"/>
                <w:i w:val="0"/>
                <w:sz w:val="24"/>
                <w:szCs w:val="24"/>
              </w:rPr>
              <w:t>Deferred tax liabilities</w:t>
            </w:r>
          </w:p>
        </w:tc>
        <w:tc>
          <w:tcPr>
            <w:tcW w:w="1607" w:type="dxa"/>
          </w:tcPr>
          <w:p w:rsidR="009D77DF" w:rsidRDefault="009D77DF" w:rsidP="00EF2A75">
            <w:pPr>
              <w:jc w:val="right"/>
              <w:rPr>
                <w:sz w:val="24"/>
                <w:szCs w:val="24"/>
              </w:rPr>
            </w:pPr>
            <w:r>
              <w:rPr>
                <w:sz w:val="24"/>
                <w:szCs w:val="24"/>
              </w:rPr>
              <w:t>9,</w:t>
            </w:r>
            <w:r w:rsidR="00EF2A75">
              <w:rPr>
                <w:sz w:val="24"/>
                <w:szCs w:val="24"/>
              </w:rPr>
              <w:t>642</w:t>
            </w:r>
          </w:p>
        </w:tc>
        <w:tc>
          <w:tcPr>
            <w:tcW w:w="1984" w:type="dxa"/>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Pr>
          <w:p w:rsidR="009D77DF" w:rsidRDefault="009D77DF" w:rsidP="00EF2A75">
            <w:pPr>
              <w:jc w:val="right"/>
              <w:rPr>
                <w:sz w:val="24"/>
                <w:szCs w:val="24"/>
              </w:rPr>
            </w:pPr>
            <w:r>
              <w:rPr>
                <w:sz w:val="24"/>
                <w:szCs w:val="24"/>
              </w:rPr>
              <w:t>9,</w:t>
            </w:r>
            <w:r w:rsidR="00EF2A75">
              <w:rPr>
                <w:sz w:val="24"/>
                <w:szCs w:val="24"/>
              </w:rPr>
              <w:t>642</w:t>
            </w:r>
          </w:p>
        </w:tc>
      </w:tr>
      <w:tr w:rsidR="009D77DF" w:rsidTr="004947D3">
        <w:tc>
          <w:tcPr>
            <w:tcW w:w="3496" w:type="dxa"/>
          </w:tcPr>
          <w:p w:rsidR="009D77DF" w:rsidRDefault="009D77DF" w:rsidP="004947D3">
            <w:pPr>
              <w:pStyle w:val="Heading2"/>
              <w:spacing w:before="0" w:after="0"/>
              <w:jc w:val="both"/>
              <w:outlineLvl w:val="1"/>
              <w:rPr>
                <w:b w:val="0"/>
                <w:i w:val="0"/>
                <w:sz w:val="24"/>
                <w:szCs w:val="24"/>
              </w:rPr>
            </w:pPr>
            <w:r>
              <w:rPr>
                <w:b w:val="0"/>
                <w:i w:val="0"/>
                <w:sz w:val="24"/>
                <w:szCs w:val="24"/>
              </w:rPr>
              <w:t>Loans and borrowings</w:t>
            </w:r>
          </w:p>
        </w:tc>
        <w:tc>
          <w:tcPr>
            <w:tcW w:w="1607" w:type="dxa"/>
            <w:tcBorders>
              <w:bottom w:val="single" w:sz="4" w:space="0" w:color="auto"/>
            </w:tcBorders>
          </w:tcPr>
          <w:p w:rsidR="009D77DF" w:rsidRDefault="009D77DF" w:rsidP="004947D3">
            <w:pPr>
              <w:jc w:val="right"/>
              <w:rPr>
                <w:sz w:val="24"/>
                <w:szCs w:val="24"/>
              </w:rPr>
            </w:pPr>
            <w:r>
              <w:rPr>
                <w:sz w:val="24"/>
                <w:szCs w:val="24"/>
              </w:rPr>
              <w:t>75,907</w:t>
            </w:r>
          </w:p>
        </w:tc>
        <w:tc>
          <w:tcPr>
            <w:tcW w:w="1984" w:type="dxa"/>
            <w:tcBorders>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tcPr>
          <w:p w:rsidR="009D77DF" w:rsidRDefault="009D77DF" w:rsidP="009D77DF">
            <w:pPr>
              <w:jc w:val="right"/>
              <w:rPr>
                <w:sz w:val="24"/>
                <w:szCs w:val="24"/>
              </w:rPr>
            </w:pPr>
            <w:r>
              <w:rPr>
                <w:sz w:val="24"/>
                <w:szCs w:val="24"/>
              </w:rPr>
              <w:t>75,907</w:t>
            </w:r>
          </w:p>
        </w:tc>
      </w:tr>
      <w:tr w:rsidR="009D77DF" w:rsidTr="004947D3">
        <w:tc>
          <w:tcPr>
            <w:tcW w:w="3496" w:type="dxa"/>
          </w:tcPr>
          <w:p w:rsidR="009D77DF" w:rsidRPr="002B2C6A" w:rsidRDefault="009D77DF" w:rsidP="004947D3">
            <w:pPr>
              <w:pStyle w:val="Heading2"/>
              <w:spacing w:before="0" w:after="0"/>
              <w:jc w:val="both"/>
              <w:outlineLvl w:val="1"/>
              <w:rPr>
                <w:i w:val="0"/>
                <w:sz w:val="24"/>
                <w:szCs w:val="24"/>
              </w:rPr>
            </w:pPr>
          </w:p>
        </w:tc>
        <w:tc>
          <w:tcPr>
            <w:tcW w:w="1607" w:type="dxa"/>
            <w:tcBorders>
              <w:top w:val="single" w:sz="4" w:space="0" w:color="auto"/>
              <w:bottom w:val="single" w:sz="4" w:space="0" w:color="auto"/>
            </w:tcBorders>
          </w:tcPr>
          <w:p w:rsidR="009D77DF" w:rsidRDefault="009D77DF" w:rsidP="00EF2A75">
            <w:pPr>
              <w:jc w:val="right"/>
              <w:rPr>
                <w:sz w:val="24"/>
                <w:szCs w:val="24"/>
              </w:rPr>
            </w:pPr>
            <w:r>
              <w:rPr>
                <w:sz w:val="24"/>
                <w:szCs w:val="24"/>
              </w:rPr>
              <w:t>85,</w:t>
            </w:r>
            <w:r w:rsidR="00EF2A75">
              <w:rPr>
                <w:sz w:val="24"/>
                <w:szCs w:val="24"/>
              </w:rPr>
              <w:t>54</w:t>
            </w:r>
            <w:r>
              <w:rPr>
                <w:sz w:val="24"/>
                <w:szCs w:val="24"/>
              </w:rPr>
              <w:t>9</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EF2A75" w:rsidP="009D77DF">
            <w:pPr>
              <w:jc w:val="right"/>
              <w:rPr>
                <w:sz w:val="24"/>
                <w:szCs w:val="24"/>
              </w:rPr>
            </w:pPr>
            <w:r>
              <w:rPr>
                <w:sz w:val="24"/>
                <w:szCs w:val="24"/>
              </w:rPr>
              <w:t>85,549</w:t>
            </w:r>
          </w:p>
        </w:tc>
      </w:tr>
      <w:tr w:rsidR="009D77DF" w:rsidTr="004947D3">
        <w:tc>
          <w:tcPr>
            <w:tcW w:w="3496" w:type="dxa"/>
          </w:tcPr>
          <w:p w:rsidR="009D77DF" w:rsidRPr="002B2C6A" w:rsidRDefault="009D77DF" w:rsidP="004947D3">
            <w:pPr>
              <w:pStyle w:val="Heading2"/>
              <w:spacing w:before="0" w:after="0"/>
              <w:jc w:val="both"/>
              <w:outlineLvl w:val="1"/>
              <w:rPr>
                <w:i w:val="0"/>
                <w:sz w:val="24"/>
                <w:szCs w:val="24"/>
              </w:rPr>
            </w:pPr>
            <w:r>
              <w:rPr>
                <w:i w:val="0"/>
                <w:sz w:val="24"/>
                <w:szCs w:val="24"/>
              </w:rPr>
              <w:t>TOTAL LIABILITIES</w:t>
            </w:r>
          </w:p>
        </w:tc>
        <w:tc>
          <w:tcPr>
            <w:tcW w:w="1607" w:type="dxa"/>
            <w:tcBorders>
              <w:top w:val="single" w:sz="4" w:space="0" w:color="auto"/>
              <w:bottom w:val="single" w:sz="4" w:space="0" w:color="auto"/>
            </w:tcBorders>
          </w:tcPr>
          <w:p w:rsidR="009D77DF" w:rsidRDefault="009D77DF" w:rsidP="00EF2A75">
            <w:pPr>
              <w:jc w:val="right"/>
              <w:rPr>
                <w:sz w:val="24"/>
                <w:szCs w:val="24"/>
              </w:rPr>
            </w:pPr>
            <w:r>
              <w:rPr>
                <w:sz w:val="24"/>
                <w:szCs w:val="24"/>
              </w:rPr>
              <w:t>237,</w:t>
            </w:r>
            <w:r w:rsidR="00EF2A75">
              <w:rPr>
                <w:sz w:val="24"/>
                <w:szCs w:val="24"/>
              </w:rPr>
              <w:t>005</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EF2A75">
            <w:pPr>
              <w:jc w:val="right"/>
              <w:rPr>
                <w:sz w:val="24"/>
                <w:szCs w:val="24"/>
              </w:rPr>
            </w:pPr>
            <w:r>
              <w:rPr>
                <w:sz w:val="24"/>
                <w:szCs w:val="24"/>
              </w:rPr>
              <w:t>237,</w:t>
            </w:r>
            <w:r w:rsidR="00EF2A75">
              <w:rPr>
                <w:sz w:val="24"/>
                <w:szCs w:val="24"/>
              </w:rPr>
              <w:t>005</w:t>
            </w:r>
          </w:p>
        </w:tc>
      </w:tr>
      <w:tr w:rsidR="009D77DF" w:rsidTr="009D77DF">
        <w:trPr>
          <w:trHeight w:val="89"/>
        </w:trPr>
        <w:tc>
          <w:tcPr>
            <w:tcW w:w="3496" w:type="dxa"/>
          </w:tcPr>
          <w:p w:rsidR="009D77DF" w:rsidRDefault="009D77DF" w:rsidP="004947D3">
            <w:pPr>
              <w:pStyle w:val="Heading2"/>
              <w:spacing w:before="0" w:after="0"/>
              <w:jc w:val="both"/>
              <w:outlineLvl w:val="1"/>
              <w:rPr>
                <w:i w:val="0"/>
                <w:sz w:val="24"/>
                <w:szCs w:val="24"/>
              </w:rPr>
            </w:pPr>
            <w:r>
              <w:rPr>
                <w:i w:val="0"/>
                <w:sz w:val="24"/>
                <w:szCs w:val="24"/>
              </w:rPr>
              <w:t>NET ASSETS</w:t>
            </w:r>
          </w:p>
        </w:tc>
        <w:tc>
          <w:tcPr>
            <w:tcW w:w="1607" w:type="dxa"/>
            <w:tcBorders>
              <w:top w:val="single" w:sz="4" w:space="0" w:color="auto"/>
              <w:bottom w:val="single" w:sz="4" w:space="0" w:color="auto"/>
            </w:tcBorders>
          </w:tcPr>
          <w:p w:rsidR="009D77DF" w:rsidRDefault="009D77DF" w:rsidP="004947D3">
            <w:pPr>
              <w:jc w:val="right"/>
              <w:rPr>
                <w:sz w:val="24"/>
                <w:szCs w:val="24"/>
              </w:rPr>
            </w:pPr>
            <w:r>
              <w:rPr>
                <w:sz w:val="24"/>
                <w:szCs w:val="24"/>
              </w:rPr>
              <w:t>278,237</w:t>
            </w:r>
          </w:p>
        </w:tc>
        <w:tc>
          <w:tcPr>
            <w:tcW w:w="1984" w:type="dxa"/>
            <w:tcBorders>
              <w:top w:val="single" w:sz="4" w:space="0" w:color="auto"/>
              <w:bottom w:val="single" w:sz="4" w:space="0" w:color="auto"/>
            </w:tcBorders>
          </w:tcPr>
          <w:p w:rsidR="009D77DF" w:rsidRDefault="009D77DF" w:rsidP="004947D3">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tcPr>
          <w:p w:rsidR="009D77DF" w:rsidRDefault="009D77DF" w:rsidP="009D77DF">
            <w:pPr>
              <w:jc w:val="right"/>
              <w:rPr>
                <w:sz w:val="24"/>
                <w:szCs w:val="24"/>
              </w:rPr>
            </w:pPr>
            <w:r>
              <w:rPr>
                <w:sz w:val="24"/>
                <w:szCs w:val="24"/>
              </w:rPr>
              <w:t>278,237</w:t>
            </w:r>
          </w:p>
        </w:tc>
      </w:tr>
    </w:tbl>
    <w:p w:rsidR="004947D3" w:rsidRDefault="004947D3" w:rsidP="00AD34DC">
      <w:pPr>
        <w:pStyle w:val="Heading2"/>
        <w:jc w:val="both"/>
      </w:pPr>
    </w:p>
    <w:p w:rsidR="004947D3" w:rsidRDefault="004947D3" w:rsidP="004947D3">
      <w:pPr>
        <w:rPr>
          <w:sz w:val="28"/>
        </w:rPr>
      </w:pPr>
      <w:r>
        <w:br w:type="page"/>
      </w:r>
    </w:p>
    <w:p w:rsidR="009D77DF" w:rsidRPr="00C425EA" w:rsidRDefault="009D77DF" w:rsidP="009D77DF">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9D77DF" w:rsidRDefault="009D77DF" w:rsidP="0001430D">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30 June 2012</w:t>
      </w:r>
    </w:p>
    <w:p w:rsidR="009D77DF" w:rsidRDefault="009D77DF" w:rsidP="009D77DF">
      <w:pPr>
        <w:pStyle w:val="BodyText2"/>
        <w:spacing w:before="90" w:line="260" w:lineRule="exact"/>
        <w:ind w:left="142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1607"/>
        <w:gridCol w:w="1984"/>
        <w:gridCol w:w="1530"/>
      </w:tblGrid>
      <w:tr w:rsidR="009D77DF" w:rsidTr="009D77DF">
        <w:tc>
          <w:tcPr>
            <w:tcW w:w="3496" w:type="dxa"/>
          </w:tcPr>
          <w:p w:rsidR="009D77DF" w:rsidRDefault="009D77DF" w:rsidP="009D77DF">
            <w:pPr>
              <w:pStyle w:val="Heading2"/>
              <w:spacing w:before="0" w:after="0"/>
              <w:jc w:val="both"/>
              <w:outlineLvl w:val="1"/>
              <w:rPr>
                <w:b w:val="0"/>
                <w:i w:val="0"/>
                <w:sz w:val="24"/>
                <w:szCs w:val="24"/>
              </w:rPr>
            </w:pPr>
          </w:p>
        </w:tc>
        <w:tc>
          <w:tcPr>
            <w:tcW w:w="1607" w:type="dxa"/>
          </w:tcPr>
          <w:p w:rsidR="009D77DF" w:rsidRDefault="009D77DF" w:rsidP="009D77DF">
            <w:pPr>
              <w:pStyle w:val="Heading2"/>
              <w:spacing w:before="0" w:after="0"/>
              <w:jc w:val="right"/>
              <w:outlineLvl w:val="1"/>
              <w:rPr>
                <w:b w:val="0"/>
                <w:i w:val="0"/>
                <w:sz w:val="24"/>
                <w:szCs w:val="24"/>
              </w:rPr>
            </w:pPr>
            <w:r>
              <w:rPr>
                <w:b w:val="0"/>
                <w:i w:val="0"/>
                <w:sz w:val="24"/>
                <w:szCs w:val="24"/>
              </w:rPr>
              <w:t>Under FRS Framework</w:t>
            </w:r>
          </w:p>
        </w:tc>
        <w:tc>
          <w:tcPr>
            <w:tcW w:w="1984" w:type="dxa"/>
          </w:tcPr>
          <w:p w:rsidR="009D77DF" w:rsidRDefault="009D77DF" w:rsidP="009D77DF">
            <w:pPr>
              <w:pStyle w:val="Heading2"/>
              <w:spacing w:before="0" w:after="0"/>
              <w:jc w:val="right"/>
              <w:outlineLvl w:val="1"/>
              <w:rPr>
                <w:b w:val="0"/>
                <w:i w:val="0"/>
                <w:sz w:val="24"/>
                <w:szCs w:val="24"/>
              </w:rPr>
            </w:pPr>
            <w:r>
              <w:rPr>
                <w:b w:val="0"/>
                <w:i w:val="0"/>
                <w:sz w:val="24"/>
                <w:szCs w:val="24"/>
              </w:rPr>
              <w:t xml:space="preserve">Effect of Transition to MFRS </w:t>
            </w:r>
          </w:p>
        </w:tc>
        <w:tc>
          <w:tcPr>
            <w:tcW w:w="1530" w:type="dxa"/>
          </w:tcPr>
          <w:p w:rsidR="009D77DF" w:rsidRDefault="009D77DF" w:rsidP="009D77DF">
            <w:pPr>
              <w:pStyle w:val="Heading2"/>
              <w:spacing w:before="0" w:after="0"/>
              <w:jc w:val="right"/>
              <w:outlineLvl w:val="1"/>
              <w:rPr>
                <w:b w:val="0"/>
                <w:i w:val="0"/>
                <w:sz w:val="24"/>
                <w:szCs w:val="24"/>
              </w:rPr>
            </w:pPr>
            <w:r>
              <w:rPr>
                <w:b w:val="0"/>
                <w:i w:val="0"/>
                <w:sz w:val="24"/>
                <w:szCs w:val="24"/>
              </w:rPr>
              <w:t>Under MFRS Framework</w:t>
            </w:r>
          </w:p>
        </w:tc>
      </w:tr>
      <w:tr w:rsidR="009D77DF" w:rsidRPr="002B2C6A" w:rsidTr="009D77DF">
        <w:tc>
          <w:tcPr>
            <w:tcW w:w="3496" w:type="dxa"/>
            <w:shd w:val="clear" w:color="auto" w:fill="D9D9D9" w:themeFill="background1" w:themeFillShade="D9"/>
          </w:tcPr>
          <w:p w:rsidR="009D77DF" w:rsidRPr="002B2C6A" w:rsidRDefault="009D77DF" w:rsidP="009D77DF">
            <w:pPr>
              <w:pStyle w:val="Heading2"/>
              <w:spacing w:before="0" w:after="0"/>
              <w:jc w:val="both"/>
              <w:outlineLvl w:val="1"/>
              <w:rPr>
                <w:i w:val="0"/>
                <w:sz w:val="24"/>
                <w:szCs w:val="24"/>
              </w:rPr>
            </w:pPr>
            <w:r>
              <w:rPr>
                <w:i w:val="0"/>
                <w:sz w:val="24"/>
                <w:szCs w:val="24"/>
              </w:rPr>
              <w:t>Equity</w:t>
            </w:r>
          </w:p>
        </w:tc>
        <w:tc>
          <w:tcPr>
            <w:tcW w:w="1607" w:type="dxa"/>
            <w:shd w:val="clear" w:color="auto" w:fill="D9D9D9" w:themeFill="background1" w:themeFillShade="D9"/>
          </w:tcPr>
          <w:p w:rsidR="009D77DF" w:rsidRPr="002B2C6A" w:rsidRDefault="009D77DF" w:rsidP="009D77DF">
            <w:pPr>
              <w:pStyle w:val="Heading2"/>
              <w:spacing w:before="0" w:after="0"/>
              <w:jc w:val="right"/>
              <w:outlineLvl w:val="1"/>
              <w:rPr>
                <w:i w:val="0"/>
                <w:sz w:val="24"/>
                <w:szCs w:val="24"/>
              </w:rPr>
            </w:pPr>
            <w:r w:rsidRPr="002B2C6A">
              <w:rPr>
                <w:i w:val="0"/>
                <w:sz w:val="24"/>
                <w:szCs w:val="24"/>
              </w:rPr>
              <w:t>RM’000</w:t>
            </w:r>
          </w:p>
        </w:tc>
        <w:tc>
          <w:tcPr>
            <w:tcW w:w="1984" w:type="dxa"/>
            <w:shd w:val="clear" w:color="auto" w:fill="D9D9D9" w:themeFill="background1" w:themeFillShade="D9"/>
          </w:tcPr>
          <w:p w:rsidR="009D77DF" w:rsidRPr="002B2C6A" w:rsidRDefault="009D77DF" w:rsidP="009D77DF">
            <w:pPr>
              <w:pStyle w:val="Heading2"/>
              <w:spacing w:before="0" w:after="0"/>
              <w:jc w:val="right"/>
              <w:outlineLvl w:val="1"/>
              <w:rPr>
                <w:i w:val="0"/>
                <w:sz w:val="24"/>
                <w:szCs w:val="24"/>
              </w:rPr>
            </w:pPr>
            <w:r w:rsidRPr="002B2C6A">
              <w:rPr>
                <w:i w:val="0"/>
                <w:sz w:val="24"/>
                <w:szCs w:val="24"/>
              </w:rPr>
              <w:t>RM’000</w:t>
            </w:r>
          </w:p>
        </w:tc>
        <w:tc>
          <w:tcPr>
            <w:tcW w:w="1530" w:type="dxa"/>
            <w:shd w:val="clear" w:color="auto" w:fill="D9D9D9" w:themeFill="background1" w:themeFillShade="D9"/>
          </w:tcPr>
          <w:p w:rsidR="009D77DF" w:rsidRPr="002B2C6A" w:rsidRDefault="009D77DF" w:rsidP="009D77DF">
            <w:pPr>
              <w:pStyle w:val="Heading2"/>
              <w:spacing w:before="0" w:after="0"/>
              <w:jc w:val="right"/>
              <w:outlineLvl w:val="1"/>
              <w:rPr>
                <w:i w:val="0"/>
                <w:sz w:val="24"/>
                <w:szCs w:val="24"/>
              </w:rPr>
            </w:pPr>
            <w:r w:rsidRPr="002B2C6A">
              <w:rPr>
                <w:i w:val="0"/>
                <w:sz w:val="24"/>
                <w:szCs w:val="24"/>
              </w:rPr>
              <w:t>RM’000</w:t>
            </w:r>
          </w:p>
        </w:tc>
      </w:tr>
      <w:tr w:rsidR="009D77DF" w:rsidRPr="002B2C6A" w:rsidTr="009D77DF">
        <w:tc>
          <w:tcPr>
            <w:tcW w:w="3496" w:type="dxa"/>
            <w:shd w:val="clear" w:color="auto" w:fill="auto"/>
          </w:tcPr>
          <w:p w:rsidR="009D77DF" w:rsidRPr="002B2C6A" w:rsidRDefault="009D77DF" w:rsidP="009D77DF">
            <w:pPr>
              <w:pStyle w:val="Heading2"/>
              <w:spacing w:before="0" w:after="0"/>
              <w:jc w:val="both"/>
              <w:outlineLvl w:val="1"/>
              <w:rPr>
                <w:b w:val="0"/>
                <w:i w:val="0"/>
                <w:sz w:val="24"/>
                <w:szCs w:val="24"/>
              </w:rPr>
            </w:pPr>
            <w:r>
              <w:rPr>
                <w:b w:val="0"/>
                <w:i w:val="0"/>
                <w:sz w:val="24"/>
                <w:szCs w:val="24"/>
              </w:rPr>
              <w:t>Share capital</w:t>
            </w:r>
          </w:p>
        </w:tc>
        <w:tc>
          <w:tcPr>
            <w:tcW w:w="1607" w:type="dxa"/>
            <w:shd w:val="clear" w:color="auto" w:fill="auto"/>
          </w:tcPr>
          <w:p w:rsidR="009D77DF" w:rsidRPr="002B2C6A" w:rsidRDefault="009D77DF" w:rsidP="009D77DF">
            <w:pPr>
              <w:pStyle w:val="Heading2"/>
              <w:spacing w:before="0" w:after="0"/>
              <w:jc w:val="right"/>
              <w:outlineLvl w:val="1"/>
              <w:rPr>
                <w:b w:val="0"/>
                <w:i w:val="0"/>
                <w:sz w:val="24"/>
                <w:szCs w:val="24"/>
              </w:rPr>
            </w:pPr>
            <w:r w:rsidRPr="002B2C6A">
              <w:rPr>
                <w:b w:val="0"/>
                <w:i w:val="0"/>
                <w:sz w:val="24"/>
                <w:szCs w:val="24"/>
              </w:rPr>
              <w:t>182,000</w:t>
            </w:r>
          </w:p>
        </w:tc>
        <w:tc>
          <w:tcPr>
            <w:tcW w:w="1984" w:type="dxa"/>
            <w:shd w:val="clear" w:color="auto" w:fill="auto"/>
          </w:tcPr>
          <w:p w:rsidR="009D77DF" w:rsidRPr="002B2C6A" w:rsidRDefault="009D77DF" w:rsidP="009D77DF">
            <w:pPr>
              <w:pStyle w:val="Heading2"/>
              <w:spacing w:before="0" w:after="0"/>
              <w:jc w:val="right"/>
              <w:outlineLvl w:val="1"/>
              <w:rPr>
                <w:i w:val="0"/>
                <w:sz w:val="24"/>
                <w:szCs w:val="24"/>
              </w:rPr>
            </w:pPr>
            <w:r>
              <w:rPr>
                <w:i w:val="0"/>
                <w:sz w:val="24"/>
                <w:szCs w:val="24"/>
              </w:rPr>
              <w:t>-</w:t>
            </w:r>
          </w:p>
        </w:tc>
        <w:tc>
          <w:tcPr>
            <w:tcW w:w="1530" w:type="dxa"/>
            <w:shd w:val="clear" w:color="auto" w:fill="auto"/>
          </w:tcPr>
          <w:p w:rsidR="009D77DF" w:rsidRPr="002B2C6A" w:rsidRDefault="009D77DF" w:rsidP="009D77DF">
            <w:pPr>
              <w:pStyle w:val="Heading2"/>
              <w:spacing w:before="0" w:after="0"/>
              <w:jc w:val="right"/>
              <w:outlineLvl w:val="1"/>
              <w:rPr>
                <w:b w:val="0"/>
                <w:i w:val="0"/>
                <w:sz w:val="24"/>
                <w:szCs w:val="24"/>
              </w:rPr>
            </w:pPr>
            <w:r w:rsidRPr="002B2C6A">
              <w:rPr>
                <w:b w:val="0"/>
                <w:i w:val="0"/>
                <w:sz w:val="24"/>
                <w:szCs w:val="24"/>
              </w:rPr>
              <w:t>182,000</w:t>
            </w:r>
          </w:p>
        </w:tc>
      </w:tr>
      <w:tr w:rsidR="009D77DF" w:rsidRPr="002B2C6A" w:rsidTr="009D77DF">
        <w:tc>
          <w:tcPr>
            <w:tcW w:w="3496"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Retained earnings</w:t>
            </w:r>
          </w:p>
        </w:tc>
        <w:tc>
          <w:tcPr>
            <w:tcW w:w="1607" w:type="dxa"/>
            <w:shd w:val="clear" w:color="auto" w:fill="auto"/>
          </w:tcPr>
          <w:p w:rsidR="009D77DF" w:rsidRPr="002B2C6A" w:rsidRDefault="00AF4E19" w:rsidP="009D77DF">
            <w:pPr>
              <w:pStyle w:val="Heading2"/>
              <w:spacing w:before="0" w:after="0"/>
              <w:jc w:val="right"/>
              <w:outlineLvl w:val="1"/>
              <w:rPr>
                <w:b w:val="0"/>
                <w:i w:val="0"/>
                <w:sz w:val="24"/>
                <w:szCs w:val="24"/>
              </w:rPr>
            </w:pPr>
            <w:r>
              <w:rPr>
                <w:b w:val="0"/>
                <w:i w:val="0"/>
                <w:sz w:val="24"/>
                <w:szCs w:val="24"/>
              </w:rPr>
              <w:t>85,118</w:t>
            </w:r>
          </w:p>
        </w:tc>
        <w:tc>
          <w:tcPr>
            <w:tcW w:w="1984" w:type="dxa"/>
            <w:shd w:val="clear" w:color="auto" w:fill="auto"/>
          </w:tcPr>
          <w:p w:rsidR="009D77DF" w:rsidRPr="00021344" w:rsidRDefault="00EF2A75" w:rsidP="00EF2A75">
            <w:pPr>
              <w:pStyle w:val="Heading2"/>
              <w:spacing w:before="0" w:after="0"/>
              <w:jc w:val="right"/>
              <w:outlineLvl w:val="1"/>
              <w:rPr>
                <w:b w:val="0"/>
                <w:i w:val="0"/>
                <w:sz w:val="24"/>
                <w:szCs w:val="24"/>
              </w:rPr>
            </w:pPr>
            <w:r>
              <w:rPr>
                <w:b w:val="0"/>
                <w:i w:val="0"/>
                <w:sz w:val="24"/>
                <w:szCs w:val="24"/>
              </w:rPr>
              <w:t>448</w:t>
            </w:r>
          </w:p>
        </w:tc>
        <w:tc>
          <w:tcPr>
            <w:tcW w:w="1530" w:type="dxa"/>
            <w:shd w:val="clear" w:color="auto" w:fill="auto"/>
          </w:tcPr>
          <w:p w:rsidR="009D77DF" w:rsidRPr="002B2C6A" w:rsidRDefault="009D77DF" w:rsidP="00EF2A75">
            <w:pPr>
              <w:pStyle w:val="Heading2"/>
              <w:spacing w:before="0" w:after="0"/>
              <w:jc w:val="right"/>
              <w:outlineLvl w:val="1"/>
              <w:rPr>
                <w:b w:val="0"/>
                <w:i w:val="0"/>
                <w:sz w:val="24"/>
                <w:szCs w:val="24"/>
              </w:rPr>
            </w:pPr>
            <w:r>
              <w:rPr>
                <w:b w:val="0"/>
                <w:i w:val="0"/>
                <w:sz w:val="24"/>
                <w:szCs w:val="24"/>
              </w:rPr>
              <w:t>85,</w:t>
            </w:r>
            <w:r w:rsidR="00EF2A75">
              <w:rPr>
                <w:b w:val="0"/>
                <w:i w:val="0"/>
                <w:sz w:val="24"/>
                <w:szCs w:val="24"/>
              </w:rPr>
              <w:t>566</w:t>
            </w:r>
          </w:p>
        </w:tc>
      </w:tr>
      <w:tr w:rsidR="009D77DF" w:rsidTr="009D77DF">
        <w:tc>
          <w:tcPr>
            <w:tcW w:w="3496"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Revaluation reserve</w:t>
            </w:r>
          </w:p>
        </w:tc>
        <w:tc>
          <w:tcPr>
            <w:tcW w:w="1607" w:type="dxa"/>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101</w:t>
            </w:r>
          </w:p>
        </w:tc>
        <w:tc>
          <w:tcPr>
            <w:tcW w:w="1984" w:type="dxa"/>
            <w:shd w:val="clear" w:color="auto" w:fill="auto"/>
          </w:tcPr>
          <w:p w:rsidR="009D77DF" w:rsidRPr="00021344" w:rsidRDefault="009D77DF" w:rsidP="009D77DF">
            <w:pPr>
              <w:pStyle w:val="Heading2"/>
              <w:spacing w:before="0" w:after="0"/>
              <w:jc w:val="right"/>
              <w:outlineLvl w:val="1"/>
              <w:rPr>
                <w:b w:val="0"/>
                <w:i w:val="0"/>
                <w:sz w:val="24"/>
                <w:szCs w:val="24"/>
              </w:rPr>
            </w:pPr>
            <w:r w:rsidRPr="00021344">
              <w:rPr>
                <w:b w:val="0"/>
                <w:i w:val="0"/>
                <w:sz w:val="24"/>
                <w:szCs w:val="24"/>
              </w:rPr>
              <w:t>(101)</w:t>
            </w:r>
            <w:r>
              <w:rPr>
                <w:b w:val="0"/>
                <w:i w:val="0"/>
                <w:sz w:val="24"/>
                <w:szCs w:val="24"/>
              </w:rPr>
              <w:t>#</w:t>
            </w:r>
          </w:p>
        </w:tc>
        <w:tc>
          <w:tcPr>
            <w:tcW w:w="1530" w:type="dxa"/>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w:t>
            </w:r>
          </w:p>
        </w:tc>
      </w:tr>
      <w:tr w:rsidR="009D77DF" w:rsidRPr="0021578B" w:rsidTr="009D77DF">
        <w:tc>
          <w:tcPr>
            <w:tcW w:w="3496"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Foreign currency translation reserve</w:t>
            </w:r>
          </w:p>
        </w:tc>
        <w:tc>
          <w:tcPr>
            <w:tcW w:w="1607" w:type="dxa"/>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9D77DF" w:rsidP="009D77DF">
            <w:pPr>
              <w:jc w:val="right"/>
              <w:rPr>
                <w:sz w:val="24"/>
                <w:szCs w:val="24"/>
              </w:rPr>
            </w:pPr>
            <w:r>
              <w:rPr>
                <w:sz w:val="24"/>
                <w:szCs w:val="24"/>
              </w:rPr>
              <w:t>259</w:t>
            </w:r>
          </w:p>
        </w:tc>
        <w:tc>
          <w:tcPr>
            <w:tcW w:w="1984" w:type="dxa"/>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9D77DF" w:rsidP="00EF2A75">
            <w:pPr>
              <w:jc w:val="right"/>
              <w:rPr>
                <w:sz w:val="24"/>
                <w:szCs w:val="24"/>
              </w:rPr>
            </w:pPr>
            <w:r>
              <w:rPr>
                <w:sz w:val="24"/>
                <w:szCs w:val="24"/>
              </w:rPr>
              <w:t>(</w:t>
            </w:r>
            <w:r w:rsidR="00EF2A75">
              <w:rPr>
                <w:sz w:val="24"/>
                <w:szCs w:val="24"/>
              </w:rPr>
              <w:t>347</w:t>
            </w:r>
            <w:r>
              <w:rPr>
                <w:sz w:val="24"/>
                <w:szCs w:val="24"/>
              </w:rPr>
              <w:t>)#</w:t>
            </w:r>
          </w:p>
        </w:tc>
        <w:tc>
          <w:tcPr>
            <w:tcW w:w="1530" w:type="dxa"/>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EF2A75" w:rsidP="009D77DF">
            <w:pPr>
              <w:jc w:val="right"/>
              <w:rPr>
                <w:sz w:val="24"/>
                <w:szCs w:val="24"/>
              </w:rPr>
            </w:pPr>
            <w:r>
              <w:rPr>
                <w:sz w:val="24"/>
                <w:szCs w:val="24"/>
              </w:rPr>
              <w:t>(88)</w:t>
            </w:r>
          </w:p>
        </w:tc>
      </w:tr>
      <w:tr w:rsidR="009D77DF" w:rsidRPr="0021578B" w:rsidTr="009D77DF">
        <w:tc>
          <w:tcPr>
            <w:tcW w:w="3496"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Equity attributable to owners of the parent</w:t>
            </w:r>
          </w:p>
        </w:tc>
        <w:tc>
          <w:tcPr>
            <w:tcW w:w="1607" w:type="dxa"/>
            <w:tcBorders>
              <w:top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9D77DF" w:rsidP="00AF4E19">
            <w:pPr>
              <w:jc w:val="right"/>
              <w:rPr>
                <w:sz w:val="24"/>
                <w:szCs w:val="24"/>
              </w:rPr>
            </w:pPr>
            <w:r>
              <w:rPr>
                <w:sz w:val="24"/>
                <w:szCs w:val="24"/>
              </w:rPr>
              <w:t>267,</w:t>
            </w:r>
            <w:r w:rsidR="00AF4E19">
              <w:rPr>
                <w:sz w:val="24"/>
                <w:szCs w:val="24"/>
              </w:rPr>
              <w:t>478</w:t>
            </w:r>
          </w:p>
        </w:tc>
        <w:tc>
          <w:tcPr>
            <w:tcW w:w="1984" w:type="dxa"/>
            <w:tcBorders>
              <w:top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9D77DF" w:rsidP="009D77DF">
            <w:pPr>
              <w:jc w:val="right"/>
              <w:rPr>
                <w:sz w:val="24"/>
                <w:szCs w:val="24"/>
              </w:rPr>
            </w:pPr>
            <w:r>
              <w:rPr>
                <w:sz w:val="24"/>
                <w:szCs w:val="24"/>
              </w:rPr>
              <w:t>-</w:t>
            </w:r>
          </w:p>
        </w:tc>
        <w:tc>
          <w:tcPr>
            <w:tcW w:w="1530" w:type="dxa"/>
            <w:tcBorders>
              <w:top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p>
          <w:p w:rsidR="009D77DF" w:rsidRPr="0021578B" w:rsidRDefault="00AF4E19" w:rsidP="009D77DF">
            <w:pPr>
              <w:jc w:val="right"/>
              <w:rPr>
                <w:sz w:val="24"/>
                <w:szCs w:val="24"/>
              </w:rPr>
            </w:pPr>
            <w:r>
              <w:rPr>
                <w:sz w:val="24"/>
                <w:szCs w:val="24"/>
              </w:rPr>
              <w:t>267,478</w:t>
            </w:r>
          </w:p>
        </w:tc>
      </w:tr>
      <w:tr w:rsidR="009D77DF" w:rsidTr="009D77DF">
        <w:tc>
          <w:tcPr>
            <w:tcW w:w="3496"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Non-controlling interests</w:t>
            </w:r>
          </w:p>
        </w:tc>
        <w:tc>
          <w:tcPr>
            <w:tcW w:w="1607" w:type="dxa"/>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10,759</w:t>
            </w:r>
          </w:p>
        </w:tc>
        <w:tc>
          <w:tcPr>
            <w:tcW w:w="1984" w:type="dxa"/>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w:t>
            </w:r>
          </w:p>
        </w:tc>
        <w:tc>
          <w:tcPr>
            <w:tcW w:w="1530" w:type="dxa"/>
            <w:tcBorders>
              <w:bottom w:val="single" w:sz="4" w:space="0" w:color="auto"/>
            </w:tcBorders>
            <w:shd w:val="clear" w:color="auto" w:fill="auto"/>
          </w:tcPr>
          <w:p w:rsidR="009D77DF" w:rsidRDefault="00AF4E19" w:rsidP="009D77DF">
            <w:pPr>
              <w:pStyle w:val="Heading2"/>
              <w:spacing w:before="0" w:after="0"/>
              <w:jc w:val="right"/>
              <w:outlineLvl w:val="1"/>
              <w:rPr>
                <w:b w:val="0"/>
                <w:i w:val="0"/>
                <w:sz w:val="24"/>
                <w:szCs w:val="24"/>
              </w:rPr>
            </w:pPr>
            <w:r>
              <w:rPr>
                <w:b w:val="0"/>
                <w:i w:val="0"/>
                <w:sz w:val="24"/>
                <w:szCs w:val="24"/>
              </w:rPr>
              <w:t>10,759</w:t>
            </w:r>
          </w:p>
        </w:tc>
      </w:tr>
      <w:tr w:rsidR="009D77DF" w:rsidTr="009D77DF">
        <w:tc>
          <w:tcPr>
            <w:tcW w:w="3496" w:type="dxa"/>
            <w:shd w:val="clear" w:color="auto" w:fill="auto"/>
          </w:tcPr>
          <w:p w:rsidR="009D77DF" w:rsidRPr="0021578B" w:rsidRDefault="009D77DF" w:rsidP="009D77DF">
            <w:pPr>
              <w:pStyle w:val="Heading2"/>
              <w:spacing w:before="0" w:after="0"/>
              <w:jc w:val="both"/>
              <w:outlineLvl w:val="1"/>
              <w:rPr>
                <w:i w:val="0"/>
                <w:sz w:val="24"/>
                <w:szCs w:val="24"/>
              </w:rPr>
            </w:pPr>
            <w:r w:rsidRPr="0021578B">
              <w:rPr>
                <w:i w:val="0"/>
                <w:sz w:val="24"/>
                <w:szCs w:val="24"/>
              </w:rPr>
              <w:t>TOTAL EQUITY</w:t>
            </w:r>
          </w:p>
        </w:tc>
        <w:tc>
          <w:tcPr>
            <w:tcW w:w="1607" w:type="dxa"/>
            <w:tcBorders>
              <w:top w:val="single" w:sz="4" w:space="0" w:color="auto"/>
              <w:bottom w:val="single" w:sz="4" w:space="0" w:color="auto"/>
            </w:tcBorders>
            <w:shd w:val="clear" w:color="auto" w:fill="auto"/>
          </w:tcPr>
          <w:p w:rsidR="009D77DF" w:rsidRDefault="00AF4E19" w:rsidP="009D77DF">
            <w:pPr>
              <w:pStyle w:val="Heading2"/>
              <w:spacing w:before="0" w:after="0"/>
              <w:jc w:val="right"/>
              <w:outlineLvl w:val="1"/>
              <w:rPr>
                <w:b w:val="0"/>
                <w:i w:val="0"/>
                <w:sz w:val="24"/>
                <w:szCs w:val="24"/>
              </w:rPr>
            </w:pPr>
            <w:r>
              <w:rPr>
                <w:b w:val="0"/>
                <w:i w:val="0"/>
                <w:sz w:val="24"/>
                <w:szCs w:val="24"/>
              </w:rPr>
              <w:t>278,237</w:t>
            </w:r>
          </w:p>
        </w:tc>
        <w:tc>
          <w:tcPr>
            <w:tcW w:w="1984" w:type="dxa"/>
            <w:tcBorders>
              <w:top w:val="single" w:sz="4" w:space="0" w:color="auto"/>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w:t>
            </w:r>
          </w:p>
        </w:tc>
        <w:tc>
          <w:tcPr>
            <w:tcW w:w="1530" w:type="dxa"/>
            <w:tcBorders>
              <w:top w:val="single" w:sz="4" w:space="0" w:color="auto"/>
              <w:bottom w:val="single" w:sz="4" w:space="0" w:color="auto"/>
            </w:tcBorders>
            <w:shd w:val="clear" w:color="auto" w:fill="auto"/>
          </w:tcPr>
          <w:p w:rsidR="009D77DF" w:rsidRDefault="00AF4E19" w:rsidP="009D77DF">
            <w:pPr>
              <w:pStyle w:val="Heading2"/>
              <w:spacing w:before="0" w:after="0"/>
              <w:jc w:val="right"/>
              <w:outlineLvl w:val="1"/>
              <w:rPr>
                <w:b w:val="0"/>
                <w:i w:val="0"/>
                <w:sz w:val="24"/>
                <w:szCs w:val="24"/>
              </w:rPr>
            </w:pPr>
            <w:r>
              <w:rPr>
                <w:b w:val="0"/>
                <w:i w:val="0"/>
                <w:sz w:val="24"/>
                <w:szCs w:val="24"/>
              </w:rPr>
              <w:t>278,237</w:t>
            </w:r>
          </w:p>
        </w:tc>
      </w:tr>
    </w:tbl>
    <w:p w:rsidR="009D77DF" w:rsidRDefault="009D77DF" w:rsidP="009D77DF">
      <w:pPr>
        <w:pStyle w:val="BodyText2"/>
        <w:spacing w:before="90" w:line="260" w:lineRule="exact"/>
        <w:ind w:left="1429"/>
        <w:rPr>
          <w:rFonts w:ascii="Times New Roman" w:hAnsi="Times New Roman"/>
          <w:sz w:val="24"/>
          <w:szCs w:val="24"/>
        </w:rPr>
      </w:pPr>
    </w:p>
    <w:p w:rsidR="00226A0F" w:rsidRDefault="00226A0F" w:rsidP="00226A0F">
      <w:pPr>
        <w:pStyle w:val="BodyText2"/>
        <w:spacing w:before="90" w:line="260" w:lineRule="exact"/>
        <w:ind w:left="0"/>
        <w:rPr>
          <w:rFonts w:ascii="Times New Roman" w:hAnsi="Times New Roman"/>
          <w:b/>
          <w:i/>
          <w:sz w:val="24"/>
          <w:szCs w:val="24"/>
        </w:rPr>
      </w:pPr>
      <w:r>
        <w:rPr>
          <w:rFonts w:ascii="Times New Roman" w:hAnsi="Times New Roman"/>
          <w:b/>
          <w:i/>
          <w:sz w:val="24"/>
          <w:szCs w:val="24"/>
        </w:rPr>
        <w:t>A1.2</w:t>
      </w:r>
      <w:r>
        <w:rPr>
          <w:rFonts w:ascii="Times New Roman" w:hAnsi="Times New Roman"/>
          <w:b/>
          <w:i/>
          <w:sz w:val="24"/>
          <w:szCs w:val="24"/>
        </w:rPr>
        <w:tab/>
        <w:t>Cash flows</w:t>
      </w:r>
    </w:p>
    <w:p w:rsidR="00226A0F" w:rsidRDefault="00226A0F" w:rsidP="00226A0F">
      <w:pPr>
        <w:pStyle w:val="BodyText2"/>
        <w:spacing w:before="90" w:line="260" w:lineRule="exact"/>
        <w:ind w:left="0"/>
        <w:rPr>
          <w:rFonts w:ascii="Times New Roman" w:hAnsi="Times New Roman"/>
          <w:b/>
          <w:i/>
          <w:sz w:val="24"/>
          <w:szCs w:val="24"/>
        </w:rPr>
      </w:pPr>
    </w:p>
    <w:p w:rsidR="00226A0F" w:rsidRDefault="00226A0F" w:rsidP="00226A0F">
      <w:pPr>
        <w:pStyle w:val="BodyText2"/>
        <w:spacing w:before="90" w:line="260" w:lineRule="exact"/>
        <w:ind w:left="709"/>
        <w:rPr>
          <w:rFonts w:ascii="Times New Roman" w:hAnsi="Times New Roman"/>
          <w:sz w:val="24"/>
          <w:szCs w:val="24"/>
        </w:rPr>
      </w:pPr>
      <w:r>
        <w:rPr>
          <w:rFonts w:ascii="Times New Roman" w:hAnsi="Times New Roman"/>
          <w:sz w:val="24"/>
          <w:szCs w:val="24"/>
        </w:rPr>
        <w:t>There are no differences between the statement of cash flows presented under MFRS and the statement of cash flows presented under FRS.</w:t>
      </w:r>
    </w:p>
    <w:p w:rsidR="00226A0F" w:rsidRPr="00226A0F" w:rsidRDefault="00226A0F" w:rsidP="00226A0F">
      <w:pPr>
        <w:pStyle w:val="BodyText2"/>
        <w:spacing w:before="90" w:line="260" w:lineRule="exact"/>
        <w:ind w:left="709"/>
        <w:rPr>
          <w:rFonts w:ascii="Times New Roman" w:hAnsi="Times New Roman"/>
          <w:sz w:val="24"/>
          <w:szCs w:val="24"/>
        </w:rPr>
      </w:pPr>
    </w:p>
    <w:p w:rsidR="004C1AF5" w:rsidRDefault="004C1AF5" w:rsidP="00AD34DC">
      <w:pPr>
        <w:pStyle w:val="Heading2"/>
        <w:jc w:val="both"/>
      </w:pPr>
      <w:r>
        <w:t>A2.</w:t>
      </w:r>
      <w:r>
        <w:tab/>
      </w:r>
      <w:r w:rsidR="00226A0F">
        <w:t>Not adopted by the Group</w:t>
      </w:r>
    </w:p>
    <w:p w:rsidR="007658B3" w:rsidRPr="00226A0F" w:rsidRDefault="007658B3" w:rsidP="00176EFD">
      <w:pPr>
        <w:overflowPunct/>
        <w:ind w:left="4320" w:right="-288" w:hanging="3600"/>
        <w:jc w:val="both"/>
        <w:textAlignment w:val="auto"/>
        <w:rPr>
          <w:bCs/>
          <w:sz w:val="24"/>
          <w:szCs w:val="24"/>
        </w:rPr>
      </w:pPr>
    </w:p>
    <w:p w:rsidR="00226A0F" w:rsidRDefault="00226A0F" w:rsidP="00226A0F">
      <w:pPr>
        <w:overflowPunct/>
        <w:ind w:left="709" w:right="-288" w:firstLine="11"/>
        <w:jc w:val="both"/>
        <w:textAlignment w:val="auto"/>
        <w:rPr>
          <w:bCs/>
          <w:sz w:val="24"/>
          <w:szCs w:val="24"/>
        </w:rPr>
      </w:pPr>
      <w:r>
        <w:rPr>
          <w:bCs/>
          <w:sz w:val="24"/>
          <w:szCs w:val="24"/>
        </w:rPr>
        <w:t>The following MFRS and amendments to MFRS issued by the MASB that are relevant have not yet been adopted by the Group.  These MFRS and amendments are effective for annual periods beginning on or after 1</w:t>
      </w:r>
      <w:r w:rsidRPr="00226A0F">
        <w:rPr>
          <w:bCs/>
          <w:sz w:val="24"/>
          <w:szCs w:val="24"/>
          <w:vertAlign w:val="superscript"/>
        </w:rPr>
        <w:t>st</w:t>
      </w:r>
      <w:r>
        <w:rPr>
          <w:bCs/>
          <w:sz w:val="24"/>
          <w:szCs w:val="24"/>
        </w:rPr>
        <w:t xml:space="preserve"> July 2012 unless other stated:</w:t>
      </w:r>
    </w:p>
    <w:p w:rsidR="00226A0F" w:rsidRDefault="00226A0F" w:rsidP="00226A0F">
      <w:pPr>
        <w:overflowPunct/>
        <w:ind w:left="709" w:right="-288" w:firstLine="11"/>
        <w:jc w:val="both"/>
        <w:textAlignment w:val="auto"/>
        <w:rPr>
          <w:bCs/>
          <w:sz w:val="24"/>
          <w:szCs w:val="24"/>
        </w:rPr>
      </w:pPr>
    </w:p>
    <w:p w:rsidR="00226A0F" w:rsidRDefault="00226A0F"/>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394"/>
        <w:gridCol w:w="284"/>
        <w:gridCol w:w="2238"/>
      </w:tblGrid>
      <w:tr w:rsidR="00226A0F" w:rsidTr="00A5643A">
        <w:tc>
          <w:tcPr>
            <w:tcW w:w="1951" w:type="dxa"/>
          </w:tcPr>
          <w:p w:rsidR="00226A0F" w:rsidRDefault="00226A0F" w:rsidP="00226A0F">
            <w:pPr>
              <w:overflowPunct/>
              <w:ind w:right="-288"/>
              <w:jc w:val="both"/>
              <w:textAlignment w:val="auto"/>
              <w:rPr>
                <w:bCs/>
                <w:sz w:val="24"/>
                <w:szCs w:val="24"/>
              </w:rPr>
            </w:pPr>
          </w:p>
        </w:tc>
        <w:tc>
          <w:tcPr>
            <w:tcW w:w="4394" w:type="dxa"/>
          </w:tcPr>
          <w:p w:rsidR="00226A0F" w:rsidRDefault="00226A0F" w:rsidP="00226A0F">
            <w:pPr>
              <w:overflowPunct/>
              <w:ind w:right="-288"/>
              <w:jc w:val="both"/>
              <w:textAlignment w:val="auto"/>
              <w:rPr>
                <w:bCs/>
                <w:sz w:val="24"/>
                <w:szCs w:val="24"/>
              </w:rPr>
            </w:pP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Effective for annual periods beginning on or after</w:t>
            </w:r>
          </w:p>
        </w:tc>
      </w:tr>
      <w:tr w:rsidR="00226A0F" w:rsidTr="00A5643A">
        <w:tc>
          <w:tcPr>
            <w:tcW w:w="1951" w:type="dxa"/>
          </w:tcPr>
          <w:p w:rsidR="00226A0F" w:rsidRDefault="00226A0F" w:rsidP="00226A0F">
            <w:pPr>
              <w:overflowPunct/>
              <w:ind w:right="-288"/>
              <w:jc w:val="both"/>
              <w:textAlignment w:val="auto"/>
              <w:rPr>
                <w:bCs/>
                <w:sz w:val="24"/>
                <w:szCs w:val="24"/>
              </w:rPr>
            </w:pPr>
            <w:r>
              <w:rPr>
                <w:bCs/>
                <w:sz w:val="24"/>
                <w:szCs w:val="24"/>
              </w:rPr>
              <w:t>MFRS 9</w:t>
            </w:r>
          </w:p>
        </w:tc>
        <w:tc>
          <w:tcPr>
            <w:tcW w:w="4394" w:type="dxa"/>
          </w:tcPr>
          <w:p w:rsidR="00226A0F" w:rsidRDefault="00226A0F" w:rsidP="00A5643A">
            <w:pPr>
              <w:overflowPunct/>
              <w:ind w:right="34"/>
              <w:jc w:val="both"/>
              <w:textAlignment w:val="auto"/>
              <w:rPr>
                <w:bCs/>
                <w:sz w:val="24"/>
                <w:szCs w:val="24"/>
              </w:rPr>
            </w:pPr>
            <w:r>
              <w:rPr>
                <w:bCs/>
                <w:sz w:val="24"/>
                <w:szCs w:val="24"/>
              </w:rPr>
              <w:t xml:space="preserve">Financial Instruments  (IFRS 9 issued </w:t>
            </w:r>
            <w:r w:rsidR="00A5643A">
              <w:rPr>
                <w:bCs/>
                <w:sz w:val="24"/>
                <w:szCs w:val="24"/>
              </w:rPr>
              <w:t>b</w:t>
            </w:r>
            <w:r>
              <w:rPr>
                <w:bCs/>
                <w:sz w:val="24"/>
                <w:szCs w:val="24"/>
              </w:rPr>
              <w:t>y IASB in November 2009 and October 2010)</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1 January 2015</w:t>
            </w:r>
          </w:p>
        </w:tc>
      </w:tr>
      <w:tr w:rsidR="00226A0F" w:rsidTr="00A5643A">
        <w:tc>
          <w:tcPr>
            <w:tcW w:w="1951" w:type="dxa"/>
          </w:tcPr>
          <w:p w:rsidR="00226A0F" w:rsidRDefault="00226A0F" w:rsidP="00226A0F">
            <w:pPr>
              <w:overflowPunct/>
              <w:ind w:right="-288"/>
              <w:jc w:val="both"/>
              <w:textAlignment w:val="auto"/>
              <w:rPr>
                <w:bCs/>
                <w:sz w:val="24"/>
                <w:szCs w:val="24"/>
              </w:rPr>
            </w:pPr>
            <w:r>
              <w:rPr>
                <w:bCs/>
                <w:sz w:val="24"/>
                <w:szCs w:val="24"/>
              </w:rPr>
              <w:t>MFRS 10</w:t>
            </w:r>
          </w:p>
        </w:tc>
        <w:tc>
          <w:tcPr>
            <w:tcW w:w="4394" w:type="dxa"/>
          </w:tcPr>
          <w:p w:rsidR="00226A0F" w:rsidRDefault="00226A0F" w:rsidP="00A5643A">
            <w:pPr>
              <w:overflowPunct/>
              <w:ind w:right="34"/>
              <w:jc w:val="both"/>
              <w:textAlignment w:val="auto"/>
              <w:rPr>
                <w:bCs/>
                <w:sz w:val="24"/>
                <w:szCs w:val="24"/>
              </w:rPr>
            </w:pPr>
            <w:r>
              <w:rPr>
                <w:bCs/>
                <w:sz w:val="24"/>
                <w:szCs w:val="24"/>
              </w:rPr>
              <w:t>Consolidated Financial Statements</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1 January 2013</w:t>
            </w:r>
          </w:p>
        </w:tc>
      </w:tr>
      <w:tr w:rsidR="00F942C1" w:rsidTr="00A5643A">
        <w:tc>
          <w:tcPr>
            <w:tcW w:w="1951" w:type="dxa"/>
          </w:tcPr>
          <w:p w:rsidR="00F942C1" w:rsidRDefault="00F942C1" w:rsidP="00226A0F">
            <w:pPr>
              <w:overflowPunct/>
              <w:ind w:right="-288"/>
              <w:jc w:val="both"/>
              <w:textAlignment w:val="auto"/>
              <w:rPr>
                <w:bCs/>
                <w:sz w:val="24"/>
                <w:szCs w:val="24"/>
              </w:rPr>
            </w:pPr>
            <w:r>
              <w:rPr>
                <w:bCs/>
                <w:sz w:val="24"/>
                <w:szCs w:val="24"/>
              </w:rPr>
              <w:t>MFRS 11</w:t>
            </w:r>
          </w:p>
        </w:tc>
        <w:tc>
          <w:tcPr>
            <w:tcW w:w="4394" w:type="dxa"/>
          </w:tcPr>
          <w:p w:rsidR="00F942C1" w:rsidRDefault="00F942C1" w:rsidP="00A5643A">
            <w:pPr>
              <w:overflowPunct/>
              <w:ind w:right="34"/>
              <w:jc w:val="both"/>
              <w:textAlignment w:val="auto"/>
              <w:rPr>
                <w:bCs/>
                <w:sz w:val="24"/>
                <w:szCs w:val="24"/>
              </w:rPr>
            </w:pPr>
            <w:r>
              <w:rPr>
                <w:bCs/>
                <w:sz w:val="24"/>
                <w:szCs w:val="24"/>
              </w:rPr>
              <w:t>Joint Arrangements</w:t>
            </w:r>
          </w:p>
        </w:tc>
        <w:tc>
          <w:tcPr>
            <w:tcW w:w="284" w:type="dxa"/>
          </w:tcPr>
          <w:p w:rsidR="00F942C1" w:rsidRDefault="00F942C1" w:rsidP="00226A0F">
            <w:pPr>
              <w:overflowPunct/>
              <w:ind w:right="-288"/>
              <w:jc w:val="both"/>
              <w:textAlignment w:val="auto"/>
              <w:rPr>
                <w:bCs/>
                <w:sz w:val="24"/>
                <w:szCs w:val="24"/>
              </w:rPr>
            </w:pPr>
          </w:p>
        </w:tc>
        <w:tc>
          <w:tcPr>
            <w:tcW w:w="2238" w:type="dxa"/>
          </w:tcPr>
          <w:p w:rsidR="00F942C1" w:rsidRDefault="00F942C1" w:rsidP="00226A0F">
            <w:pPr>
              <w:overflowPunct/>
              <w:ind w:right="146"/>
              <w:jc w:val="right"/>
              <w:textAlignment w:val="auto"/>
              <w:rPr>
                <w:bCs/>
                <w:sz w:val="24"/>
                <w:szCs w:val="24"/>
              </w:rPr>
            </w:pPr>
            <w:r>
              <w:rPr>
                <w:bCs/>
                <w:sz w:val="24"/>
                <w:szCs w:val="24"/>
              </w:rPr>
              <w:t>1 January 2013</w:t>
            </w:r>
          </w:p>
        </w:tc>
      </w:tr>
      <w:tr w:rsidR="00226A0F" w:rsidTr="00A5643A">
        <w:tc>
          <w:tcPr>
            <w:tcW w:w="1951" w:type="dxa"/>
          </w:tcPr>
          <w:p w:rsidR="00226A0F" w:rsidRDefault="00226A0F" w:rsidP="00226A0F">
            <w:pPr>
              <w:overflowPunct/>
              <w:ind w:right="-288"/>
              <w:jc w:val="both"/>
              <w:textAlignment w:val="auto"/>
              <w:rPr>
                <w:bCs/>
                <w:sz w:val="24"/>
                <w:szCs w:val="24"/>
              </w:rPr>
            </w:pPr>
            <w:r>
              <w:rPr>
                <w:bCs/>
                <w:sz w:val="24"/>
                <w:szCs w:val="24"/>
              </w:rPr>
              <w:t>MFRS 12</w:t>
            </w:r>
          </w:p>
        </w:tc>
        <w:tc>
          <w:tcPr>
            <w:tcW w:w="4394" w:type="dxa"/>
          </w:tcPr>
          <w:p w:rsidR="00226A0F" w:rsidRDefault="006D51D3" w:rsidP="00A5643A">
            <w:pPr>
              <w:overflowPunct/>
              <w:ind w:right="34"/>
              <w:jc w:val="both"/>
              <w:textAlignment w:val="auto"/>
              <w:rPr>
                <w:bCs/>
                <w:sz w:val="24"/>
                <w:szCs w:val="24"/>
              </w:rPr>
            </w:pPr>
            <w:r>
              <w:rPr>
                <w:bCs/>
                <w:sz w:val="24"/>
                <w:szCs w:val="24"/>
              </w:rPr>
              <w:t>Disclosure of Interest in Other Entities</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6D51D3" w:rsidP="00226A0F">
            <w:pPr>
              <w:overflowPunct/>
              <w:ind w:right="146"/>
              <w:jc w:val="right"/>
              <w:textAlignment w:val="auto"/>
              <w:rPr>
                <w:bCs/>
                <w:sz w:val="24"/>
                <w:szCs w:val="24"/>
              </w:rPr>
            </w:pPr>
            <w:r>
              <w:rPr>
                <w:bCs/>
                <w:sz w:val="24"/>
                <w:szCs w:val="24"/>
              </w:rPr>
              <w:t>1 January 2013</w:t>
            </w:r>
          </w:p>
        </w:tc>
      </w:tr>
      <w:tr w:rsidR="006D51D3" w:rsidTr="00A5643A">
        <w:tc>
          <w:tcPr>
            <w:tcW w:w="1951" w:type="dxa"/>
          </w:tcPr>
          <w:p w:rsidR="006D51D3" w:rsidRDefault="00A55B56" w:rsidP="00226A0F">
            <w:pPr>
              <w:overflowPunct/>
              <w:ind w:right="-288"/>
              <w:jc w:val="both"/>
              <w:textAlignment w:val="auto"/>
              <w:rPr>
                <w:bCs/>
                <w:sz w:val="24"/>
                <w:szCs w:val="24"/>
              </w:rPr>
            </w:pPr>
            <w:r>
              <w:rPr>
                <w:bCs/>
                <w:sz w:val="24"/>
                <w:szCs w:val="24"/>
              </w:rPr>
              <w:t>MFRS 119</w:t>
            </w:r>
          </w:p>
        </w:tc>
        <w:tc>
          <w:tcPr>
            <w:tcW w:w="4394" w:type="dxa"/>
          </w:tcPr>
          <w:p w:rsidR="006D51D3" w:rsidRDefault="00A55B56" w:rsidP="00A5643A">
            <w:pPr>
              <w:overflowPunct/>
              <w:ind w:right="34"/>
              <w:jc w:val="both"/>
              <w:textAlignment w:val="auto"/>
              <w:rPr>
                <w:bCs/>
                <w:sz w:val="24"/>
                <w:szCs w:val="24"/>
              </w:rPr>
            </w:pPr>
            <w:r>
              <w:rPr>
                <w:bCs/>
                <w:sz w:val="24"/>
                <w:szCs w:val="24"/>
              </w:rPr>
              <w:t>Employee Benefits (IAS 19 as amended by IASB in June 2011)</w:t>
            </w:r>
          </w:p>
        </w:tc>
        <w:tc>
          <w:tcPr>
            <w:tcW w:w="284" w:type="dxa"/>
          </w:tcPr>
          <w:p w:rsidR="006D51D3" w:rsidRDefault="006D51D3" w:rsidP="00226A0F">
            <w:pPr>
              <w:overflowPunct/>
              <w:ind w:right="-288"/>
              <w:jc w:val="both"/>
              <w:textAlignment w:val="auto"/>
              <w:rPr>
                <w:bCs/>
                <w:sz w:val="24"/>
                <w:szCs w:val="24"/>
              </w:rPr>
            </w:pPr>
          </w:p>
        </w:tc>
        <w:tc>
          <w:tcPr>
            <w:tcW w:w="2238" w:type="dxa"/>
          </w:tcPr>
          <w:p w:rsidR="006D51D3" w:rsidRDefault="006D51D3"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5643A">
        <w:tc>
          <w:tcPr>
            <w:tcW w:w="1951" w:type="dxa"/>
          </w:tcPr>
          <w:p w:rsidR="00A55B56" w:rsidRDefault="00A55B56" w:rsidP="00226A0F">
            <w:pPr>
              <w:overflowPunct/>
              <w:ind w:right="-288"/>
              <w:jc w:val="both"/>
              <w:textAlignment w:val="auto"/>
              <w:rPr>
                <w:bCs/>
                <w:sz w:val="24"/>
                <w:szCs w:val="24"/>
              </w:rPr>
            </w:pPr>
            <w:r>
              <w:rPr>
                <w:bCs/>
                <w:sz w:val="24"/>
                <w:szCs w:val="24"/>
              </w:rPr>
              <w:t>MFRS 127</w:t>
            </w:r>
          </w:p>
        </w:tc>
        <w:tc>
          <w:tcPr>
            <w:tcW w:w="4394" w:type="dxa"/>
          </w:tcPr>
          <w:p w:rsidR="00A55B56" w:rsidRDefault="00A55B56" w:rsidP="00A5643A">
            <w:pPr>
              <w:overflowPunct/>
              <w:ind w:right="34"/>
              <w:jc w:val="both"/>
              <w:textAlignment w:val="auto"/>
              <w:rPr>
                <w:bCs/>
                <w:sz w:val="24"/>
                <w:szCs w:val="24"/>
              </w:rPr>
            </w:pPr>
            <w:r>
              <w:rPr>
                <w:bCs/>
                <w:sz w:val="24"/>
                <w:szCs w:val="24"/>
              </w:rPr>
              <w:t>Separate Financial Statement (IAS 27 as amended by IASB in May 2011)</w:t>
            </w:r>
          </w:p>
        </w:tc>
        <w:tc>
          <w:tcPr>
            <w:tcW w:w="284" w:type="dxa"/>
          </w:tcPr>
          <w:p w:rsidR="00A55B56" w:rsidRDefault="00A55B56" w:rsidP="00226A0F">
            <w:pPr>
              <w:overflowPunct/>
              <w:ind w:right="-288"/>
              <w:jc w:val="both"/>
              <w:textAlignment w:val="auto"/>
              <w:rPr>
                <w:bCs/>
                <w:sz w:val="24"/>
                <w:szCs w:val="24"/>
              </w:rPr>
            </w:pPr>
          </w:p>
        </w:tc>
        <w:tc>
          <w:tcPr>
            <w:tcW w:w="2238" w:type="dxa"/>
          </w:tcPr>
          <w:p w:rsidR="00A55B56" w:rsidRDefault="00A55B56"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5643A">
        <w:tc>
          <w:tcPr>
            <w:tcW w:w="1951" w:type="dxa"/>
          </w:tcPr>
          <w:p w:rsidR="00A55B56" w:rsidRDefault="00A55B56" w:rsidP="00226A0F">
            <w:pPr>
              <w:overflowPunct/>
              <w:ind w:right="-288"/>
              <w:jc w:val="both"/>
              <w:textAlignment w:val="auto"/>
              <w:rPr>
                <w:bCs/>
                <w:sz w:val="24"/>
                <w:szCs w:val="24"/>
              </w:rPr>
            </w:pPr>
          </w:p>
        </w:tc>
        <w:tc>
          <w:tcPr>
            <w:tcW w:w="4394" w:type="dxa"/>
          </w:tcPr>
          <w:p w:rsidR="00A55B56" w:rsidRDefault="00A55B56" w:rsidP="00226A0F">
            <w:pPr>
              <w:overflowPunct/>
              <w:ind w:right="-288"/>
              <w:jc w:val="both"/>
              <w:textAlignment w:val="auto"/>
              <w:rPr>
                <w:bCs/>
                <w:sz w:val="24"/>
                <w:szCs w:val="24"/>
              </w:rPr>
            </w:pPr>
          </w:p>
        </w:tc>
        <w:tc>
          <w:tcPr>
            <w:tcW w:w="284" w:type="dxa"/>
          </w:tcPr>
          <w:p w:rsidR="00A55B56" w:rsidRDefault="00A55B56" w:rsidP="00226A0F">
            <w:pPr>
              <w:overflowPunct/>
              <w:ind w:right="-288"/>
              <w:jc w:val="both"/>
              <w:textAlignment w:val="auto"/>
              <w:rPr>
                <w:bCs/>
                <w:sz w:val="24"/>
                <w:szCs w:val="24"/>
              </w:rPr>
            </w:pPr>
          </w:p>
        </w:tc>
        <w:tc>
          <w:tcPr>
            <w:tcW w:w="2238" w:type="dxa"/>
          </w:tcPr>
          <w:p w:rsidR="00A55B56" w:rsidRDefault="00A55B56" w:rsidP="00226A0F">
            <w:pPr>
              <w:overflowPunct/>
              <w:ind w:right="146"/>
              <w:jc w:val="right"/>
              <w:textAlignment w:val="auto"/>
              <w:rPr>
                <w:bCs/>
                <w:sz w:val="24"/>
                <w:szCs w:val="24"/>
              </w:rPr>
            </w:pPr>
          </w:p>
        </w:tc>
      </w:tr>
    </w:tbl>
    <w:p w:rsidR="00A55B56" w:rsidRDefault="00A55B56"/>
    <w:p w:rsidR="00A55B56" w:rsidRDefault="00A55B56"/>
    <w:p w:rsidR="00A55B56" w:rsidRDefault="00A55B56"/>
    <w:p w:rsidR="00A55B56" w:rsidRDefault="00A55B56" w:rsidP="00A55B56">
      <w:pPr>
        <w:pStyle w:val="Heading2"/>
        <w:jc w:val="both"/>
      </w:pPr>
      <w:r>
        <w:t>A2.</w:t>
      </w:r>
      <w:r>
        <w:tab/>
        <w:t>Not adopted by the Group (Cont’d)</w:t>
      </w:r>
    </w:p>
    <w:p w:rsidR="00A55B56" w:rsidRPr="00226A0F" w:rsidRDefault="00A55B56" w:rsidP="00A55B56">
      <w:pPr>
        <w:overflowPunct/>
        <w:ind w:left="4320" w:right="-288" w:hanging="3600"/>
        <w:jc w:val="both"/>
        <w:textAlignment w:val="auto"/>
        <w:rPr>
          <w:bCs/>
          <w:sz w:val="24"/>
          <w:szCs w:val="24"/>
        </w:rPr>
      </w:pPr>
    </w:p>
    <w:tbl>
      <w:tblPr>
        <w:tblStyle w:val="TableGrid"/>
        <w:tblW w:w="0" w:type="auto"/>
        <w:tblInd w:w="709" w:type="dxa"/>
        <w:tblLayout w:type="fixed"/>
        <w:tblLook w:val="04A0"/>
      </w:tblPr>
      <w:tblGrid>
        <w:gridCol w:w="3227"/>
        <w:gridCol w:w="3402"/>
        <w:gridCol w:w="283"/>
        <w:gridCol w:w="1955"/>
      </w:tblGrid>
      <w:tr w:rsidR="00E24908" w:rsidTr="00A5643A">
        <w:tc>
          <w:tcPr>
            <w:tcW w:w="3227" w:type="dxa"/>
            <w:tcBorders>
              <w:top w:val="nil"/>
              <w:left w:val="nil"/>
              <w:bottom w:val="nil"/>
              <w:right w:val="nil"/>
            </w:tcBorders>
          </w:tcPr>
          <w:p w:rsidR="00E24908" w:rsidRDefault="00E24908" w:rsidP="00A55B56">
            <w:pPr>
              <w:overflowPunct/>
              <w:ind w:right="-288"/>
              <w:jc w:val="both"/>
              <w:textAlignment w:val="auto"/>
              <w:rPr>
                <w:bCs/>
                <w:sz w:val="24"/>
                <w:szCs w:val="24"/>
              </w:rPr>
            </w:pPr>
          </w:p>
        </w:tc>
        <w:tc>
          <w:tcPr>
            <w:tcW w:w="3685" w:type="dxa"/>
            <w:gridSpan w:val="2"/>
            <w:tcBorders>
              <w:top w:val="nil"/>
              <w:left w:val="nil"/>
              <w:bottom w:val="nil"/>
              <w:right w:val="nil"/>
            </w:tcBorders>
          </w:tcPr>
          <w:p w:rsidR="00E24908" w:rsidRDefault="00E24908" w:rsidP="00A55B56">
            <w:pPr>
              <w:overflowPunct/>
              <w:ind w:right="146"/>
              <w:jc w:val="right"/>
              <w:textAlignment w:val="auto"/>
              <w:rPr>
                <w:bCs/>
                <w:sz w:val="24"/>
                <w:szCs w:val="24"/>
              </w:rPr>
            </w:pPr>
          </w:p>
        </w:tc>
        <w:tc>
          <w:tcPr>
            <w:tcW w:w="1955" w:type="dxa"/>
            <w:tcBorders>
              <w:top w:val="nil"/>
              <w:left w:val="nil"/>
              <w:bottom w:val="nil"/>
              <w:right w:val="nil"/>
            </w:tcBorders>
          </w:tcPr>
          <w:p w:rsidR="00E24908" w:rsidRDefault="00E24908" w:rsidP="00A55B56">
            <w:pPr>
              <w:overflowPunct/>
              <w:ind w:right="146"/>
              <w:jc w:val="right"/>
              <w:textAlignment w:val="auto"/>
              <w:rPr>
                <w:bCs/>
                <w:sz w:val="24"/>
                <w:szCs w:val="24"/>
              </w:rPr>
            </w:pPr>
            <w:r>
              <w:rPr>
                <w:bCs/>
                <w:sz w:val="24"/>
                <w:szCs w:val="24"/>
              </w:rPr>
              <w:t>Effective for annual periods beginning on or after</w:t>
            </w:r>
          </w:p>
        </w:tc>
      </w:tr>
      <w:tr w:rsidR="00A55B56" w:rsidTr="00A5643A">
        <w:tc>
          <w:tcPr>
            <w:tcW w:w="3227" w:type="dxa"/>
            <w:tcBorders>
              <w:top w:val="nil"/>
              <w:left w:val="nil"/>
              <w:bottom w:val="nil"/>
              <w:right w:val="nil"/>
            </w:tcBorders>
          </w:tcPr>
          <w:p w:rsidR="00A55B56" w:rsidRDefault="00A55B56" w:rsidP="00226A0F">
            <w:pPr>
              <w:overflowPunct/>
              <w:ind w:right="-288"/>
              <w:jc w:val="both"/>
              <w:textAlignment w:val="auto"/>
              <w:rPr>
                <w:bCs/>
                <w:sz w:val="24"/>
                <w:szCs w:val="24"/>
              </w:rPr>
            </w:pPr>
            <w:r>
              <w:rPr>
                <w:bCs/>
                <w:sz w:val="24"/>
                <w:szCs w:val="24"/>
              </w:rPr>
              <w:t>MFRS 128</w:t>
            </w:r>
          </w:p>
        </w:tc>
        <w:tc>
          <w:tcPr>
            <w:tcW w:w="3402" w:type="dxa"/>
            <w:tcBorders>
              <w:top w:val="nil"/>
              <w:left w:val="nil"/>
              <w:bottom w:val="nil"/>
              <w:right w:val="nil"/>
            </w:tcBorders>
          </w:tcPr>
          <w:p w:rsidR="00A55B56" w:rsidRDefault="00A55B56" w:rsidP="001178F5">
            <w:pPr>
              <w:overflowPunct/>
              <w:ind w:right="34"/>
              <w:jc w:val="both"/>
              <w:textAlignment w:val="auto"/>
              <w:rPr>
                <w:bCs/>
                <w:sz w:val="24"/>
                <w:szCs w:val="24"/>
              </w:rPr>
            </w:pPr>
            <w:r>
              <w:rPr>
                <w:bCs/>
                <w:sz w:val="24"/>
                <w:szCs w:val="24"/>
              </w:rPr>
              <w:t>Investments in Associates and Joint  Ventures (IAS 28 as amended by IASB in May 2011)</w:t>
            </w:r>
          </w:p>
        </w:tc>
        <w:tc>
          <w:tcPr>
            <w:tcW w:w="283" w:type="dxa"/>
            <w:tcBorders>
              <w:top w:val="nil"/>
              <w:left w:val="nil"/>
              <w:bottom w:val="nil"/>
              <w:right w:val="nil"/>
            </w:tcBorders>
          </w:tcPr>
          <w:p w:rsidR="00A55B56" w:rsidRDefault="00A55B56" w:rsidP="00226A0F">
            <w:pPr>
              <w:overflowPunct/>
              <w:ind w:right="-288"/>
              <w:jc w:val="both"/>
              <w:textAlignment w:val="auto"/>
              <w:rPr>
                <w:bCs/>
                <w:sz w:val="24"/>
                <w:szCs w:val="24"/>
              </w:rPr>
            </w:pPr>
          </w:p>
        </w:tc>
        <w:tc>
          <w:tcPr>
            <w:tcW w:w="1955" w:type="dxa"/>
            <w:tcBorders>
              <w:top w:val="nil"/>
              <w:left w:val="nil"/>
              <w:bottom w:val="nil"/>
              <w:right w:val="nil"/>
            </w:tcBorders>
          </w:tcPr>
          <w:p w:rsidR="00A55B56" w:rsidRDefault="00A55B56"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5643A">
        <w:tc>
          <w:tcPr>
            <w:tcW w:w="3227" w:type="dxa"/>
            <w:tcBorders>
              <w:top w:val="nil"/>
              <w:left w:val="nil"/>
              <w:bottom w:val="nil"/>
              <w:right w:val="nil"/>
            </w:tcBorders>
          </w:tcPr>
          <w:p w:rsidR="00A55B56" w:rsidRDefault="00A55B56" w:rsidP="00226A0F">
            <w:pPr>
              <w:overflowPunct/>
              <w:ind w:right="-288"/>
              <w:jc w:val="both"/>
              <w:textAlignment w:val="auto"/>
              <w:rPr>
                <w:bCs/>
                <w:sz w:val="24"/>
                <w:szCs w:val="24"/>
              </w:rPr>
            </w:pPr>
            <w:r>
              <w:rPr>
                <w:bCs/>
                <w:sz w:val="24"/>
                <w:szCs w:val="24"/>
              </w:rPr>
              <w:t>Amendments to MFRS 1</w:t>
            </w:r>
          </w:p>
        </w:tc>
        <w:tc>
          <w:tcPr>
            <w:tcW w:w="3402" w:type="dxa"/>
            <w:tcBorders>
              <w:top w:val="nil"/>
              <w:left w:val="nil"/>
              <w:bottom w:val="nil"/>
              <w:right w:val="nil"/>
            </w:tcBorders>
          </w:tcPr>
          <w:p w:rsidR="00A55B56" w:rsidRDefault="00A55B56" w:rsidP="001178F5">
            <w:pPr>
              <w:overflowPunct/>
              <w:jc w:val="both"/>
              <w:textAlignment w:val="auto"/>
              <w:rPr>
                <w:bCs/>
                <w:sz w:val="24"/>
                <w:szCs w:val="24"/>
              </w:rPr>
            </w:pPr>
            <w:r>
              <w:rPr>
                <w:bCs/>
                <w:sz w:val="24"/>
                <w:szCs w:val="24"/>
              </w:rPr>
              <w:t>First-time Adoption of Malaysian Financial Reporting Standards</w:t>
            </w:r>
          </w:p>
        </w:tc>
        <w:tc>
          <w:tcPr>
            <w:tcW w:w="283" w:type="dxa"/>
            <w:tcBorders>
              <w:top w:val="nil"/>
              <w:left w:val="nil"/>
              <w:bottom w:val="nil"/>
              <w:right w:val="nil"/>
            </w:tcBorders>
          </w:tcPr>
          <w:p w:rsidR="00A55B56" w:rsidRDefault="00A55B56" w:rsidP="00226A0F">
            <w:pPr>
              <w:overflowPunct/>
              <w:ind w:right="-288"/>
              <w:jc w:val="both"/>
              <w:textAlignment w:val="auto"/>
              <w:rPr>
                <w:bCs/>
                <w:sz w:val="24"/>
                <w:szCs w:val="24"/>
              </w:rPr>
            </w:pPr>
          </w:p>
        </w:tc>
        <w:tc>
          <w:tcPr>
            <w:tcW w:w="1955" w:type="dxa"/>
            <w:tcBorders>
              <w:top w:val="nil"/>
              <w:left w:val="nil"/>
              <w:bottom w:val="nil"/>
              <w:right w:val="nil"/>
            </w:tcBorders>
          </w:tcPr>
          <w:p w:rsidR="00A55B56" w:rsidRDefault="00A55B56"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5643A">
        <w:tc>
          <w:tcPr>
            <w:tcW w:w="3227" w:type="dxa"/>
            <w:tcBorders>
              <w:top w:val="nil"/>
              <w:left w:val="nil"/>
              <w:bottom w:val="nil"/>
              <w:right w:val="nil"/>
            </w:tcBorders>
          </w:tcPr>
          <w:p w:rsidR="00A55B56" w:rsidRDefault="00A55B56" w:rsidP="00226A0F">
            <w:pPr>
              <w:overflowPunct/>
              <w:ind w:right="-288"/>
              <w:jc w:val="both"/>
              <w:textAlignment w:val="auto"/>
              <w:rPr>
                <w:bCs/>
                <w:sz w:val="24"/>
                <w:szCs w:val="24"/>
              </w:rPr>
            </w:pPr>
            <w:r>
              <w:rPr>
                <w:bCs/>
                <w:sz w:val="24"/>
                <w:szCs w:val="24"/>
              </w:rPr>
              <w:t>Amendments to MFRS 7</w:t>
            </w:r>
          </w:p>
        </w:tc>
        <w:tc>
          <w:tcPr>
            <w:tcW w:w="3402" w:type="dxa"/>
            <w:tcBorders>
              <w:top w:val="nil"/>
              <w:left w:val="nil"/>
              <w:bottom w:val="nil"/>
              <w:right w:val="nil"/>
            </w:tcBorders>
          </w:tcPr>
          <w:p w:rsidR="00A55B56" w:rsidRDefault="00E24908" w:rsidP="001178F5">
            <w:pPr>
              <w:overflowPunct/>
              <w:ind w:right="176"/>
              <w:jc w:val="both"/>
              <w:textAlignment w:val="auto"/>
              <w:rPr>
                <w:bCs/>
                <w:sz w:val="24"/>
                <w:szCs w:val="24"/>
              </w:rPr>
            </w:pPr>
            <w:r>
              <w:rPr>
                <w:bCs/>
                <w:sz w:val="24"/>
                <w:szCs w:val="24"/>
              </w:rPr>
              <w:t>Disclosures – Offsetting Financial Assets and Financial Liabilities</w:t>
            </w:r>
          </w:p>
        </w:tc>
        <w:tc>
          <w:tcPr>
            <w:tcW w:w="283" w:type="dxa"/>
            <w:tcBorders>
              <w:top w:val="nil"/>
              <w:left w:val="nil"/>
              <w:bottom w:val="nil"/>
              <w:right w:val="nil"/>
            </w:tcBorders>
          </w:tcPr>
          <w:p w:rsidR="00A55B56" w:rsidRDefault="00A55B56" w:rsidP="00226A0F">
            <w:pPr>
              <w:overflowPunct/>
              <w:ind w:right="-288"/>
              <w:jc w:val="both"/>
              <w:textAlignment w:val="auto"/>
              <w:rPr>
                <w:bCs/>
                <w:sz w:val="24"/>
                <w:szCs w:val="24"/>
              </w:rPr>
            </w:pPr>
          </w:p>
        </w:tc>
        <w:tc>
          <w:tcPr>
            <w:tcW w:w="1955" w:type="dxa"/>
            <w:tcBorders>
              <w:top w:val="nil"/>
              <w:left w:val="nil"/>
              <w:bottom w:val="nil"/>
              <w:right w:val="nil"/>
            </w:tcBorders>
          </w:tcPr>
          <w:p w:rsidR="00A55B56" w:rsidRDefault="00A55B56" w:rsidP="00226A0F">
            <w:pPr>
              <w:overflowPunct/>
              <w:ind w:right="146"/>
              <w:jc w:val="right"/>
              <w:textAlignment w:val="auto"/>
              <w:rPr>
                <w:bCs/>
                <w:sz w:val="24"/>
                <w:szCs w:val="24"/>
              </w:rPr>
            </w:pPr>
          </w:p>
          <w:p w:rsidR="00E24908" w:rsidRDefault="00E24908" w:rsidP="00226A0F">
            <w:pPr>
              <w:overflowPunct/>
              <w:ind w:right="146"/>
              <w:jc w:val="right"/>
              <w:textAlignment w:val="auto"/>
              <w:rPr>
                <w:bCs/>
                <w:sz w:val="24"/>
                <w:szCs w:val="24"/>
              </w:rPr>
            </w:pPr>
            <w:r>
              <w:rPr>
                <w:bCs/>
                <w:sz w:val="24"/>
                <w:szCs w:val="24"/>
              </w:rPr>
              <w:t>1 January 2013</w:t>
            </w:r>
          </w:p>
        </w:tc>
      </w:tr>
      <w:tr w:rsidR="00E24908" w:rsidTr="00A5643A">
        <w:tc>
          <w:tcPr>
            <w:tcW w:w="3227" w:type="dxa"/>
            <w:tcBorders>
              <w:top w:val="nil"/>
              <w:left w:val="nil"/>
              <w:bottom w:val="nil"/>
              <w:right w:val="nil"/>
            </w:tcBorders>
          </w:tcPr>
          <w:p w:rsidR="00E24908" w:rsidRDefault="001178F5" w:rsidP="00E24908">
            <w:pPr>
              <w:overflowPunct/>
              <w:ind w:right="176"/>
              <w:jc w:val="both"/>
              <w:textAlignment w:val="auto"/>
              <w:rPr>
                <w:bCs/>
                <w:sz w:val="24"/>
                <w:szCs w:val="24"/>
              </w:rPr>
            </w:pPr>
            <w:r>
              <w:rPr>
                <w:bCs/>
                <w:sz w:val="24"/>
                <w:szCs w:val="24"/>
              </w:rPr>
              <w:t>Amendment to MFRS 101</w:t>
            </w:r>
          </w:p>
        </w:tc>
        <w:tc>
          <w:tcPr>
            <w:tcW w:w="3402" w:type="dxa"/>
            <w:tcBorders>
              <w:top w:val="nil"/>
              <w:left w:val="nil"/>
              <w:bottom w:val="nil"/>
              <w:right w:val="nil"/>
            </w:tcBorders>
          </w:tcPr>
          <w:p w:rsidR="00E24908" w:rsidRDefault="001178F5" w:rsidP="001178F5">
            <w:pPr>
              <w:overflowPunct/>
              <w:ind w:right="34"/>
              <w:jc w:val="both"/>
              <w:textAlignment w:val="auto"/>
              <w:rPr>
                <w:bCs/>
                <w:sz w:val="24"/>
                <w:szCs w:val="24"/>
              </w:rPr>
            </w:pPr>
            <w:r>
              <w:rPr>
                <w:bCs/>
                <w:sz w:val="24"/>
                <w:szCs w:val="24"/>
              </w:rPr>
              <w:t xml:space="preserve">Presentation of Financial Statement </w:t>
            </w:r>
          </w:p>
        </w:tc>
        <w:tc>
          <w:tcPr>
            <w:tcW w:w="283" w:type="dxa"/>
            <w:tcBorders>
              <w:top w:val="nil"/>
              <w:left w:val="nil"/>
              <w:bottom w:val="nil"/>
              <w:right w:val="nil"/>
            </w:tcBorders>
          </w:tcPr>
          <w:p w:rsidR="00E24908" w:rsidRDefault="00E24908" w:rsidP="001178F5">
            <w:pPr>
              <w:overflowPunct/>
              <w:ind w:left="-534" w:right="-288"/>
              <w:jc w:val="both"/>
              <w:textAlignment w:val="auto"/>
              <w:rPr>
                <w:bCs/>
                <w:sz w:val="24"/>
                <w:szCs w:val="24"/>
              </w:rPr>
            </w:pPr>
          </w:p>
        </w:tc>
        <w:tc>
          <w:tcPr>
            <w:tcW w:w="1955" w:type="dxa"/>
            <w:tcBorders>
              <w:top w:val="nil"/>
              <w:left w:val="nil"/>
              <w:bottom w:val="nil"/>
              <w:right w:val="nil"/>
            </w:tcBorders>
          </w:tcPr>
          <w:p w:rsidR="00E24908" w:rsidRDefault="00E24908" w:rsidP="00226A0F">
            <w:pPr>
              <w:overflowPunct/>
              <w:ind w:right="146"/>
              <w:jc w:val="right"/>
              <w:textAlignment w:val="auto"/>
              <w:rPr>
                <w:bCs/>
                <w:sz w:val="24"/>
                <w:szCs w:val="24"/>
              </w:rPr>
            </w:pPr>
          </w:p>
          <w:p w:rsidR="001178F5" w:rsidRDefault="001178F5" w:rsidP="00226A0F">
            <w:pPr>
              <w:overflowPunct/>
              <w:ind w:right="146"/>
              <w:jc w:val="right"/>
              <w:textAlignment w:val="auto"/>
              <w:rPr>
                <w:bCs/>
                <w:sz w:val="24"/>
                <w:szCs w:val="24"/>
              </w:rPr>
            </w:pPr>
            <w:r>
              <w:rPr>
                <w:bCs/>
                <w:sz w:val="24"/>
                <w:szCs w:val="24"/>
              </w:rPr>
              <w:t>1 January 2013</w:t>
            </w:r>
          </w:p>
        </w:tc>
      </w:tr>
      <w:tr w:rsidR="001178F5" w:rsidTr="00A5643A">
        <w:tc>
          <w:tcPr>
            <w:tcW w:w="3227" w:type="dxa"/>
            <w:tcBorders>
              <w:top w:val="nil"/>
              <w:left w:val="nil"/>
              <w:bottom w:val="nil"/>
              <w:right w:val="nil"/>
            </w:tcBorders>
          </w:tcPr>
          <w:p w:rsidR="001178F5" w:rsidRDefault="001178F5" w:rsidP="00E24908">
            <w:pPr>
              <w:overflowPunct/>
              <w:ind w:right="176"/>
              <w:jc w:val="both"/>
              <w:textAlignment w:val="auto"/>
              <w:rPr>
                <w:bCs/>
                <w:sz w:val="24"/>
                <w:szCs w:val="24"/>
              </w:rPr>
            </w:pPr>
            <w:r>
              <w:rPr>
                <w:bCs/>
                <w:sz w:val="24"/>
                <w:szCs w:val="24"/>
              </w:rPr>
              <w:t>Amendment to MFRS 116</w:t>
            </w:r>
          </w:p>
        </w:tc>
        <w:tc>
          <w:tcPr>
            <w:tcW w:w="3402" w:type="dxa"/>
            <w:tcBorders>
              <w:top w:val="nil"/>
              <w:left w:val="nil"/>
              <w:bottom w:val="nil"/>
              <w:right w:val="nil"/>
            </w:tcBorders>
          </w:tcPr>
          <w:p w:rsidR="001178F5" w:rsidRDefault="001178F5" w:rsidP="001178F5">
            <w:pPr>
              <w:overflowPunct/>
              <w:ind w:right="34"/>
              <w:jc w:val="both"/>
              <w:textAlignment w:val="auto"/>
              <w:rPr>
                <w:bCs/>
                <w:sz w:val="24"/>
                <w:szCs w:val="24"/>
              </w:rPr>
            </w:pPr>
            <w:r>
              <w:rPr>
                <w:bCs/>
                <w:sz w:val="24"/>
                <w:szCs w:val="24"/>
              </w:rPr>
              <w:t>Property, Plant and Equipment</w:t>
            </w:r>
          </w:p>
        </w:tc>
        <w:tc>
          <w:tcPr>
            <w:tcW w:w="283" w:type="dxa"/>
            <w:tcBorders>
              <w:top w:val="nil"/>
              <w:left w:val="nil"/>
              <w:bottom w:val="nil"/>
              <w:right w:val="nil"/>
            </w:tcBorders>
          </w:tcPr>
          <w:p w:rsidR="001178F5" w:rsidRDefault="001178F5" w:rsidP="001178F5">
            <w:pPr>
              <w:overflowPunct/>
              <w:ind w:left="-534" w:right="-288"/>
              <w:jc w:val="both"/>
              <w:textAlignment w:val="auto"/>
              <w:rPr>
                <w:bCs/>
                <w:sz w:val="24"/>
                <w:szCs w:val="24"/>
              </w:rPr>
            </w:pPr>
          </w:p>
        </w:tc>
        <w:tc>
          <w:tcPr>
            <w:tcW w:w="1955" w:type="dxa"/>
            <w:tcBorders>
              <w:top w:val="nil"/>
              <w:left w:val="nil"/>
              <w:bottom w:val="nil"/>
              <w:right w:val="nil"/>
            </w:tcBorders>
          </w:tcPr>
          <w:p w:rsidR="001178F5" w:rsidRDefault="001178F5" w:rsidP="001178F5">
            <w:pPr>
              <w:tabs>
                <w:tab w:val="left" w:pos="1387"/>
              </w:tabs>
              <w:overflowPunct/>
              <w:ind w:right="146"/>
              <w:jc w:val="right"/>
              <w:textAlignment w:val="auto"/>
              <w:rPr>
                <w:bCs/>
                <w:sz w:val="24"/>
                <w:szCs w:val="24"/>
              </w:rPr>
            </w:pPr>
            <w:r>
              <w:rPr>
                <w:bCs/>
                <w:sz w:val="24"/>
                <w:szCs w:val="24"/>
              </w:rPr>
              <w:t>1 January 2013</w:t>
            </w:r>
          </w:p>
        </w:tc>
      </w:tr>
      <w:tr w:rsidR="001178F5" w:rsidTr="00A5643A">
        <w:tc>
          <w:tcPr>
            <w:tcW w:w="3227" w:type="dxa"/>
            <w:tcBorders>
              <w:top w:val="nil"/>
              <w:left w:val="nil"/>
              <w:bottom w:val="nil"/>
              <w:right w:val="nil"/>
            </w:tcBorders>
          </w:tcPr>
          <w:p w:rsidR="001178F5" w:rsidRDefault="001178F5" w:rsidP="00EE6D81">
            <w:pPr>
              <w:overflowPunct/>
              <w:ind w:right="176"/>
              <w:jc w:val="both"/>
              <w:textAlignment w:val="auto"/>
              <w:rPr>
                <w:bCs/>
                <w:sz w:val="24"/>
                <w:szCs w:val="24"/>
              </w:rPr>
            </w:pPr>
            <w:r>
              <w:rPr>
                <w:bCs/>
                <w:sz w:val="24"/>
                <w:szCs w:val="24"/>
              </w:rPr>
              <w:t>Amendment to MFRS 132</w:t>
            </w:r>
          </w:p>
        </w:tc>
        <w:tc>
          <w:tcPr>
            <w:tcW w:w="3402" w:type="dxa"/>
            <w:tcBorders>
              <w:top w:val="nil"/>
              <w:left w:val="nil"/>
              <w:bottom w:val="nil"/>
              <w:right w:val="nil"/>
            </w:tcBorders>
          </w:tcPr>
          <w:p w:rsidR="001178F5" w:rsidRDefault="001178F5" w:rsidP="001178F5">
            <w:pPr>
              <w:overflowPunct/>
              <w:ind w:right="34"/>
              <w:jc w:val="both"/>
              <w:textAlignment w:val="auto"/>
              <w:rPr>
                <w:bCs/>
                <w:sz w:val="24"/>
                <w:szCs w:val="24"/>
              </w:rPr>
            </w:pPr>
            <w:r>
              <w:rPr>
                <w:bCs/>
                <w:sz w:val="24"/>
                <w:szCs w:val="24"/>
              </w:rPr>
              <w:t>Financial Instruments : Presentation</w:t>
            </w:r>
          </w:p>
        </w:tc>
        <w:tc>
          <w:tcPr>
            <w:tcW w:w="283" w:type="dxa"/>
            <w:tcBorders>
              <w:top w:val="nil"/>
              <w:left w:val="nil"/>
              <w:bottom w:val="nil"/>
              <w:right w:val="nil"/>
            </w:tcBorders>
          </w:tcPr>
          <w:p w:rsidR="001178F5" w:rsidRDefault="001178F5" w:rsidP="001178F5">
            <w:pPr>
              <w:overflowPunct/>
              <w:ind w:left="-534" w:right="-288"/>
              <w:jc w:val="both"/>
              <w:textAlignment w:val="auto"/>
              <w:rPr>
                <w:bCs/>
                <w:sz w:val="24"/>
                <w:szCs w:val="24"/>
              </w:rPr>
            </w:pPr>
          </w:p>
        </w:tc>
        <w:tc>
          <w:tcPr>
            <w:tcW w:w="1955" w:type="dxa"/>
            <w:tcBorders>
              <w:top w:val="nil"/>
              <w:left w:val="nil"/>
              <w:bottom w:val="nil"/>
              <w:right w:val="nil"/>
            </w:tcBorders>
          </w:tcPr>
          <w:p w:rsidR="001178F5" w:rsidRDefault="001178F5" w:rsidP="001178F5">
            <w:pPr>
              <w:tabs>
                <w:tab w:val="left" w:pos="1387"/>
              </w:tabs>
              <w:overflowPunct/>
              <w:ind w:right="146"/>
              <w:jc w:val="right"/>
              <w:textAlignment w:val="auto"/>
              <w:rPr>
                <w:bCs/>
                <w:sz w:val="24"/>
                <w:szCs w:val="24"/>
              </w:rPr>
            </w:pPr>
          </w:p>
          <w:p w:rsidR="001178F5" w:rsidRDefault="001178F5" w:rsidP="001178F5">
            <w:pPr>
              <w:tabs>
                <w:tab w:val="left" w:pos="1387"/>
              </w:tabs>
              <w:overflowPunct/>
              <w:ind w:right="146"/>
              <w:jc w:val="right"/>
              <w:textAlignment w:val="auto"/>
              <w:rPr>
                <w:bCs/>
                <w:sz w:val="24"/>
                <w:szCs w:val="24"/>
              </w:rPr>
            </w:pPr>
            <w:r>
              <w:rPr>
                <w:bCs/>
                <w:sz w:val="24"/>
                <w:szCs w:val="24"/>
              </w:rPr>
              <w:t>1 January 2013</w:t>
            </w:r>
          </w:p>
        </w:tc>
      </w:tr>
      <w:tr w:rsidR="001178F5" w:rsidTr="00A5643A">
        <w:trPr>
          <w:trHeight w:val="620"/>
        </w:trPr>
        <w:tc>
          <w:tcPr>
            <w:tcW w:w="3227" w:type="dxa"/>
            <w:tcBorders>
              <w:top w:val="nil"/>
              <w:left w:val="nil"/>
              <w:bottom w:val="nil"/>
              <w:right w:val="nil"/>
            </w:tcBorders>
          </w:tcPr>
          <w:p w:rsidR="001178F5" w:rsidRDefault="001178F5" w:rsidP="00EE6D81">
            <w:pPr>
              <w:overflowPunct/>
              <w:ind w:right="176"/>
              <w:jc w:val="both"/>
              <w:textAlignment w:val="auto"/>
              <w:rPr>
                <w:bCs/>
                <w:sz w:val="24"/>
                <w:szCs w:val="24"/>
              </w:rPr>
            </w:pPr>
            <w:r>
              <w:rPr>
                <w:bCs/>
                <w:sz w:val="24"/>
                <w:szCs w:val="24"/>
              </w:rPr>
              <w:t>Amendment to MFRS 132</w:t>
            </w:r>
          </w:p>
        </w:tc>
        <w:tc>
          <w:tcPr>
            <w:tcW w:w="3402" w:type="dxa"/>
            <w:tcBorders>
              <w:top w:val="nil"/>
              <w:left w:val="nil"/>
              <w:bottom w:val="nil"/>
              <w:right w:val="nil"/>
            </w:tcBorders>
          </w:tcPr>
          <w:p w:rsidR="001178F5" w:rsidRDefault="001178F5" w:rsidP="001178F5">
            <w:pPr>
              <w:overflowPunct/>
              <w:ind w:right="34"/>
              <w:jc w:val="both"/>
              <w:textAlignment w:val="auto"/>
              <w:rPr>
                <w:bCs/>
                <w:sz w:val="24"/>
                <w:szCs w:val="24"/>
              </w:rPr>
            </w:pPr>
            <w:r>
              <w:rPr>
                <w:bCs/>
                <w:sz w:val="24"/>
                <w:szCs w:val="24"/>
              </w:rPr>
              <w:t>Offsetting Financial Assets and Financial Liabilities</w:t>
            </w:r>
          </w:p>
        </w:tc>
        <w:tc>
          <w:tcPr>
            <w:tcW w:w="283" w:type="dxa"/>
            <w:tcBorders>
              <w:top w:val="nil"/>
              <w:left w:val="nil"/>
              <w:bottom w:val="nil"/>
              <w:right w:val="nil"/>
            </w:tcBorders>
          </w:tcPr>
          <w:p w:rsidR="001178F5" w:rsidRDefault="001178F5" w:rsidP="001178F5">
            <w:pPr>
              <w:overflowPunct/>
              <w:ind w:left="-534" w:right="-288"/>
              <w:jc w:val="both"/>
              <w:textAlignment w:val="auto"/>
              <w:rPr>
                <w:bCs/>
                <w:sz w:val="24"/>
                <w:szCs w:val="24"/>
              </w:rPr>
            </w:pPr>
          </w:p>
        </w:tc>
        <w:tc>
          <w:tcPr>
            <w:tcW w:w="1955" w:type="dxa"/>
            <w:tcBorders>
              <w:top w:val="nil"/>
              <w:left w:val="nil"/>
              <w:bottom w:val="nil"/>
              <w:right w:val="nil"/>
            </w:tcBorders>
          </w:tcPr>
          <w:p w:rsidR="001178F5" w:rsidRDefault="001178F5" w:rsidP="00EE6D81">
            <w:pPr>
              <w:tabs>
                <w:tab w:val="left" w:pos="1387"/>
              </w:tabs>
              <w:overflowPunct/>
              <w:ind w:right="146"/>
              <w:jc w:val="right"/>
              <w:textAlignment w:val="auto"/>
              <w:rPr>
                <w:bCs/>
                <w:sz w:val="24"/>
                <w:szCs w:val="24"/>
              </w:rPr>
            </w:pPr>
          </w:p>
          <w:p w:rsidR="001178F5" w:rsidRDefault="001178F5" w:rsidP="00EE6D81">
            <w:pPr>
              <w:tabs>
                <w:tab w:val="left" w:pos="1387"/>
              </w:tabs>
              <w:overflowPunct/>
              <w:ind w:right="146"/>
              <w:jc w:val="right"/>
              <w:textAlignment w:val="auto"/>
              <w:rPr>
                <w:bCs/>
                <w:sz w:val="24"/>
                <w:szCs w:val="24"/>
              </w:rPr>
            </w:pPr>
            <w:r>
              <w:rPr>
                <w:bCs/>
                <w:sz w:val="24"/>
                <w:szCs w:val="24"/>
              </w:rPr>
              <w:t>1 January 2014</w:t>
            </w:r>
          </w:p>
        </w:tc>
      </w:tr>
      <w:tr w:rsidR="001178F5" w:rsidTr="00A5643A">
        <w:tc>
          <w:tcPr>
            <w:tcW w:w="3227" w:type="dxa"/>
            <w:tcBorders>
              <w:top w:val="nil"/>
              <w:left w:val="nil"/>
              <w:bottom w:val="nil"/>
              <w:right w:val="nil"/>
            </w:tcBorders>
          </w:tcPr>
          <w:p w:rsidR="001178F5" w:rsidRDefault="001178F5" w:rsidP="00EE6D81">
            <w:pPr>
              <w:overflowPunct/>
              <w:ind w:right="176"/>
              <w:jc w:val="both"/>
              <w:textAlignment w:val="auto"/>
              <w:rPr>
                <w:bCs/>
                <w:sz w:val="24"/>
                <w:szCs w:val="24"/>
              </w:rPr>
            </w:pPr>
            <w:r>
              <w:rPr>
                <w:bCs/>
                <w:sz w:val="24"/>
                <w:szCs w:val="24"/>
              </w:rPr>
              <w:t>Amendment to MFRS 134</w:t>
            </w:r>
          </w:p>
        </w:tc>
        <w:tc>
          <w:tcPr>
            <w:tcW w:w="3402" w:type="dxa"/>
            <w:tcBorders>
              <w:top w:val="nil"/>
              <w:left w:val="nil"/>
              <w:bottom w:val="nil"/>
              <w:right w:val="nil"/>
            </w:tcBorders>
          </w:tcPr>
          <w:p w:rsidR="001178F5" w:rsidRDefault="001178F5" w:rsidP="001178F5">
            <w:pPr>
              <w:overflowPunct/>
              <w:ind w:right="34"/>
              <w:jc w:val="both"/>
              <w:textAlignment w:val="auto"/>
              <w:rPr>
                <w:bCs/>
                <w:sz w:val="24"/>
                <w:szCs w:val="24"/>
              </w:rPr>
            </w:pPr>
            <w:r>
              <w:rPr>
                <w:bCs/>
                <w:sz w:val="24"/>
                <w:szCs w:val="24"/>
              </w:rPr>
              <w:t>Interim Financial Reporting</w:t>
            </w:r>
          </w:p>
        </w:tc>
        <w:tc>
          <w:tcPr>
            <w:tcW w:w="283" w:type="dxa"/>
            <w:tcBorders>
              <w:top w:val="nil"/>
              <w:left w:val="nil"/>
              <w:bottom w:val="nil"/>
              <w:right w:val="nil"/>
            </w:tcBorders>
          </w:tcPr>
          <w:p w:rsidR="001178F5" w:rsidRDefault="001178F5" w:rsidP="001178F5">
            <w:pPr>
              <w:overflowPunct/>
              <w:ind w:left="-534" w:right="-288"/>
              <w:jc w:val="both"/>
              <w:textAlignment w:val="auto"/>
              <w:rPr>
                <w:bCs/>
                <w:sz w:val="24"/>
                <w:szCs w:val="24"/>
              </w:rPr>
            </w:pPr>
          </w:p>
        </w:tc>
        <w:tc>
          <w:tcPr>
            <w:tcW w:w="1955" w:type="dxa"/>
            <w:tcBorders>
              <w:top w:val="nil"/>
              <w:left w:val="nil"/>
              <w:bottom w:val="nil"/>
              <w:right w:val="nil"/>
            </w:tcBorders>
          </w:tcPr>
          <w:p w:rsidR="001178F5" w:rsidRDefault="001178F5" w:rsidP="00EE6D81">
            <w:pPr>
              <w:tabs>
                <w:tab w:val="left" w:pos="1387"/>
              </w:tabs>
              <w:overflowPunct/>
              <w:ind w:right="146"/>
              <w:jc w:val="right"/>
              <w:textAlignment w:val="auto"/>
              <w:rPr>
                <w:bCs/>
                <w:sz w:val="24"/>
                <w:szCs w:val="24"/>
              </w:rPr>
            </w:pPr>
            <w:r>
              <w:rPr>
                <w:bCs/>
                <w:sz w:val="24"/>
                <w:szCs w:val="24"/>
              </w:rPr>
              <w:t>1 January 2013</w:t>
            </w:r>
          </w:p>
        </w:tc>
      </w:tr>
    </w:tbl>
    <w:p w:rsidR="00226A0F" w:rsidRDefault="00226A0F" w:rsidP="00226A0F">
      <w:pPr>
        <w:overflowPunct/>
        <w:ind w:left="709" w:right="-288" w:firstLine="11"/>
        <w:jc w:val="both"/>
        <w:textAlignment w:val="auto"/>
        <w:rPr>
          <w:bCs/>
          <w:sz w:val="24"/>
          <w:szCs w:val="24"/>
        </w:rPr>
      </w:pPr>
    </w:p>
    <w:p w:rsidR="004F4EF1" w:rsidRPr="00226A0F" w:rsidRDefault="004F4EF1" w:rsidP="00226A0F">
      <w:pPr>
        <w:overflowPunct/>
        <w:ind w:left="709" w:right="-288" w:firstLine="11"/>
        <w:jc w:val="both"/>
        <w:textAlignment w:val="auto"/>
        <w:rPr>
          <w:bCs/>
          <w:sz w:val="24"/>
          <w:szCs w:val="24"/>
        </w:rPr>
      </w:pPr>
      <w:r>
        <w:rPr>
          <w:bCs/>
          <w:sz w:val="24"/>
          <w:szCs w:val="24"/>
        </w:rPr>
        <w:t>The adoption of the above MFRS and amendments to MFRS are not expected to have a material impact on the financial statements of the Group.</w:t>
      </w:r>
    </w:p>
    <w:p w:rsidR="008C0854" w:rsidRDefault="008C0854" w:rsidP="008C0854">
      <w:pPr>
        <w:pStyle w:val="Heading2"/>
      </w:pPr>
      <w:r>
        <w:t>A3.</w:t>
      </w:r>
      <w:r>
        <w:tab/>
        <w:t>Report of the Auditors to the Members of Harbour-Link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11623A">
        <w:rPr>
          <w:rFonts w:ascii="Times New Roman" w:hAnsi="Times New Roman"/>
          <w:sz w:val="24"/>
          <w:szCs w:val="24"/>
        </w:rPr>
        <w:t>2</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8C0854">
        <w:t>4</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8C0854">
        <w:t>5</w:t>
      </w:r>
      <w:r>
        <w:t>.</w:t>
      </w:r>
      <w:r>
        <w:tab/>
        <w:t>Unusual Items Affecting Assets, Liabilities, Equity, Net Income or Cash Flows</w:t>
      </w:r>
    </w:p>
    <w:p w:rsidR="00E24968" w:rsidRPr="006F10E8" w:rsidRDefault="00E24968" w:rsidP="004060D0">
      <w:pPr>
        <w:pStyle w:val="BodyText2"/>
        <w:spacing w:before="90" w:line="260" w:lineRule="exact"/>
        <w:rPr>
          <w:rFonts w:ascii="Times New Roman" w:hAnsi="Times New Roman"/>
          <w:sz w:val="24"/>
          <w:szCs w:val="24"/>
        </w:rPr>
      </w:pPr>
      <w:r w:rsidRPr="006F10E8">
        <w:rPr>
          <w:rFonts w:ascii="Times New Roman" w:hAnsi="Times New Roman"/>
          <w:sz w:val="24"/>
          <w:szCs w:val="24"/>
        </w:rPr>
        <w:t>There were no unusual items affecting assets, liabilities, equity, net income or cash flows for the cu</w:t>
      </w:r>
      <w:r w:rsidR="00886199" w:rsidRPr="006F10E8">
        <w:rPr>
          <w:rFonts w:ascii="Times New Roman" w:hAnsi="Times New Roman"/>
          <w:sz w:val="24"/>
          <w:szCs w:val="24"/>
        </w:rPr>
        <w:t xml:space="preserve">rrent </w:t>
      </w:r>
      <w:r w:rsidR="00737A1D" w:rsidRPr="006F10E8">
        <w:rPr>
          <w:rFonts w:ascii="Times New Roman" w:hAnsi="Times New Roman"/>
          <w:sz w:val="24"/>
          <w:szCs w:val="24"/>
        </w:rPr>
        <w:t>quarter and financial period ended 3</w:t>
      </w:r>
      <w:r w:rsidR="009214B2">
        <w:rPr>
          <w:rFonts w:ascii="Times New Roman" w:hAnsi="Times New Roman"/>
          <w:sz w:val="24"/>
          <w:szCs w:val="24"/>
        </w:rPr>
        <w:t>1</w:t>
      </w:r>
      <w:r w:rsidR="00737A1D" w:rsidRPr="006F10E8">
        <w:rPr>
          <w:rFonts w:ascii="Times New Roman" w:hAnsi="Times New Roman"/>
          <w:sz w:val="24"/>
          <w:szCs w:val="24"/>
        </w:rPr>
        <w:t xml:space="preserve"> </w:t>
      </w:r>
      <w:r w:rsidR="00916D0B">
        <w:rPr>
          <w:rFonts w:ascii="Times New Roman" w:hAnsi="Times New Roman"/>
          <w:sz w:val="24"/>
          <w:szCs w:val="24"/>
        </w:rPr>
        <w:t>March 2013</w:t>
      </w:r>
      <w:r w:rsidR="00737A1D" w:rsidRPr="006F10E8">
        <w:rPr>
          <w:rFonts w:ascii="Times New Roman" w:hAnsi="Times New Roman"/>
          <w:sz w:val="24"/>
          <w:szCs w:val="24"/>
        </w:rPr>
        <w:t>.</w:t>
      </w:r>
    </w:p>
    <w:p w:rsidR="00603FA3" w:rsidRDefault="00603FA3" w:rsidP="004060D0">
      <w:pPr>
        <w:pStyle w:val="BodyText2"/>
        <w:spacing w:before="90" w:line="260" w:lineRule="exact"/>
      </w:pPr>
    </w:p>
    <w:p w:rsidR="00E24968" w:rsidRDefault="00E24968" w:rsidP="00F0705F">
      <w:pPr>
        <w:pStyle w:val="Heading2"/>
        <w:ind w:left="720" w:hanging="720"/>
      </w:pPr>
      <w:r>
        <w:t>A</w:t>
      </w:r>
      <w:r w:rsidR="008C0854">
        <w:t>6</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There were no changes in estimates of amounts reported in prior interim periods or prior financial years that have a material effect on results for the current quarter under review.</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8C0854">
        <w:t>7</w:t>
      </w:r>
      <w:r>
        <w:t>.</w:t>
      </w:r>
      <w:r>
        <w:tab/>
        <w:t>Debt and Equity Securities</w:t>
      </w:r>
    </w:p>
    <w:p w:rsidR="00603FA3" w:rsidRDefault="00B51CDE" w:rsidP="00B51CDE">
      <w:pPr>
        <w:pStyle w:val="BodyTextIndent2"/>
        <w:spacing w:line="260" w:lineRule="exact"/>
        <w:jc w:val="both"/>
      </w:pPr>
      <w:r>
        <w:t>There were no issuance, cancellations, repurchases, resale and repayments of debt and equity securities during the current quarter and financial period ended 3</w:t>
      </w:r>
      <w:r w:rsidR="00B74537">
        <w:t>1</w:t>
      </w:r>
      <w:r>
        <w:t xml:space="preserve"> </w:t>
      </w:r>
      <w:r w:rsidR="00916D0B">
        <w:t>March 2013.</w:t>
      </w:r>
    </w:p>
    <w:p w:rsidR="00916D0B" w:rsidRDefault="00916D0B" w:rsidP="00B51CDE">
      <w:pPr>
        <w:pStyle w:val="BodyTextIndent2"/>
        <w:spacing w:line="260" w:lineRule="exact"/>
        <w:jc w:val="both"/>
      </w:pPr>
    </w:p>
    <w:p w:rsidR="00E24968" w:rsidRDefault="00E24968" w:rsidP="009C488D">
      <w:pPr>
        <w:pStyle w:val="Heading2"/>
      </w:pPr>
      <w:r>
        <w:t>A</w:t>
      </w:r>
      <w:r w:rsidR="008C0854">
        <w:t>8</w:t>
      </w:r>
      <w:r>
        <w:t>.</w:t>
      </w:r>
      <w:r>
        <w:tab/>
        <w:t>Dividend Paid</w:t>
      </w:r>
    </w:p>
    <w:p w:rsidR="00FE7AF8" w:rsidRDefault="00FE7AF8" w:rsidP="00B51CDE">
      <w:pPr>
        <w:pStyle w:val="BodyTextIndent2"/>
        <w:spacing w:line="260" w:lineRule="exact"/>
        <w:jc w:val="both"/>
        <w:rPr>
          <w:szCs w:val="24"/>
        </w:rPr>
      </w:pPr>
    </w:p>
    <w:p w:rsidR="006C1262" w:rsidRPr="00916D0B" w:rsidRDefault="00916D0B" w:rsidP="00B51CDE">
      <w:pPr>
        <w:pStyle w:val="BodyTextIndent2"/>
        <w:spacing w:line="260" w:lineRule="exact"/>
        <w:jc w:val="both"/>
        <w:rPr>
          <w:szCs w:val="24"/>
        </w:rPr>
      </w:pPr>
      <w:r w:rsidRPr="00916D0B">
        <w:rPr>
          <w:szCs w:val="24"/>
        </w:rPr>
        <w:t>No dividend was paid in the current quarter</w:t>
      </w:r>
      <w:r w:rsidR="00FE7AF8" w:rsidRPr="00916D0B">
        <w:rPr>
          <w:szCs w:val="24"/>
        </w:rPr>
        <w:t>.</w:t>
      </w:r>
    </w:p>
    <w:p w:rsidR="006C1262" w:rsidRDefault="006C1262" w:rsidP="00B51CDE">
      <w:pPr>
        <w:pStyle w:val="BodyTextIndent2"/>
        <w:spacing w:line="260" w:lineRule="exact"/>
        <w:jc w:val="both"/>
      </w:pPr>
    </w:p>
    <w:p w:rsidR="00FC6B6F" w:rsidRDefault="00FC6B6F">
      <w:pPr>
        <w:overflowPunct/>
        <w:autoSpaceDE/>
        <w:autoSpaceDN/>
        <w:adjustRightInd/>
        <w:textAlignment w:val="auto"/>
        <w:rPr>
          <w:b/>
          <w:i/>
          <w:sz w:val="28"/>
        </w:rPr>
        <w:sectPr w:rsidR="00FC6B6F" w:rsidSect="00DF2FFC">
          <w:footerReference w:type="default" r:id="rId8"/>
          <w:pgSz w:w="12240" w:h="15840" w:code="1"/>
          <w:pgMar w:top="1728" w:right="1440" w:bottom="1008" w:left="1440" w:header="1008" w:footer="576" w:gutter="0"/>
          <w:cols w:space="720"/>
        </w:sectPr>
      </w:pPr>
    </w:p>
    <w:p w:rsidR="00AC04B8" w:rsidRDefault="00AC04B8" w:rsidP="00AC04B8">
      <w:pPr>
        <w:pStyle w:val="Heading2"/>
      </w:pPr>
      <w:r w:rsidRPr="006D5D6E">
        <w:t>A9.</w:t>
      </w:r>
      <w:r w:rsidRPr="006D5D6E">
        <w:tab/>
        <w:t>Segment Information</w:t>
      </w:r>
    </w:p>
    <w:p w:rsidR="00185C38" w:rsidRPr="00185C38" w:rsidRDefault="00185C38" w:rsidP="00185C38">
      <w:pPr>
        <w:pStyle w:val="BodyText2"/>
        <w:spacing w:before="90" w:line="260" w:lineRule="exact"/>
      </w:pPr>
      <w:r w:rsidRPr="006D5D6E">
        <w:t>The Group’s financial information analysed by business segment is as follows:</w:t>
      </w:r>
    </w:p>
    <w:tbl>
      <w:tblPr>
        <w:tblpPr w:leftFromText="180" w:rightFromText="180" w:vertAnchor="text" w:horzAnchor="margin" w:tblpXSpec="center" w:tblpY="140"/>
        <w:tblW w:w="11590" w:type="dxa"/>
        <w:tblLook w:val="0000"/>
      </w:tblPr>
      <w:tblGrid>
        <w:gridCol w:w="3272"/>
        <w:gridCol w:w="1260"/>
        <w:gridCol w:w="337"/>
        <w:gridCol w:w="222"/>
        <w:gridCol w:w="279"/>
        <w:gridCol w:w="1137"/>
        <w:gridCol w:w="163"/>
        <w:gridCol w:w="72"/>
        <w:gridCol w:w="22"/>
        <w:gridCol w:w="185"/>
        <w:gridCol w:w="51"/>
        <w:gridCol w:w="1294"/>
        <w:gridCol w:w="27"/>
        <w:gridCol w:w="209"/>
        <w:gridCol w:w="49"/>
        <w:gridCol w:w="1280"/>
        <w:gridCol w:w="14"/>
        <w:gridCol w:w="222"/>
        <w:gridCol w:w="14"/>
        <w:gridCol w:w="250"/>
        <w:gridCol w:w="1231"/>
      </w:tblGrid>
      <w:tr w:rsidR="00185C38" w:rsidRPr="00CC1AEE" w:rsidTr="00185C38">
        <w:trPr>
          <w:trHeight w:val="253"/>
        </w:trPr>
        <w:tc>
          <w:tcPr>
            <w:tcW w:w="3272" w:type="dxa"/>
            <w:shd w:val="clear" w:color="auto" w:fill="auto"/>
            <w:noWrap/>
            <w:vAlign w:val="bottom"/>
          </w:tcPr>
          <w:p w:rsidR="00185C38" w:rsidRPr="00CC1AEE" w:rsidRDefault="00185C38" w:rsidP="00185C3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Shipping,</w:t>
            </w:r>
          </w:p>
        </w:tc>
        <w:tc>
          <w:tcPr>
            <w:tcW w:w="337"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22" w:type="dxa"/>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Logistics</w:t>
            </w:r>
          </w:p>
        </w:tc>
        <w:tc>
          <w:tcPr>
            <w:tcW w:w="2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58"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r>
      <w:tr w:rsidR="00185C38" w:rsidRPr="00CC1AEE" w:rsidTr="00185C38">
        <w:trPr>
          <w:trHeight w:val="253"/>
        </w:trPr>
        <w:tc>
          <w:tcPr>
            <w:tcW w:w="3272" w:type="dxa"/>
            <w:shd w:val="clear" w:color="auto" w:fill="auto"/>
            <w:noWrap/>
            <w:vAlign w:val="bottom"/>
          </w:tcPr>
          <w:p w:rsidR="00185C38" w:rsidRPr="00CC1AEE" w:rsidRDefault="00185C38" w:rsidP="00185C3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marine</w:t>
            </w:r>
          </w:p>
        </w:tc>
        <w:tc>
          <w:tcPr>
            <w:tcW w:w="337"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22" w:type="dxa"/>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Services</w:t>
            </w:r>
          </w:p>
        </w:tc>
        <w:tc>
          <w:tcPr>
            <w:tcW w:w="2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58"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r>
      <w:tr w:rsidR="00B02748" w:rsidRPr="00CC1AEE" w:rsidTr="00185C38">
        <w:trPr>
          <w:trHeight w:val="109"/>
        </w:trPr>
        <w:tc>
          <w:tcPr>
            <w:tcW w:w="3272" w:type="dxa"/>
            <w:shd w:val="clear" w:color="auto" w:fill="auto"/>
            <w:noWrap/>
            <w:vAlign w:val="bottom"/>
          </w:tcPr>
          <w:p w:rsidR="00B02748" w:rsidRPr="002F6F8E" w:rsidRDefault="00B02748" w:rsidP="00C85DDA">
            <w:pPr>
              <w:overflowPunct/>
              <w:autoSpaceDE/>
              <w:autoSpaceDN/>
              <w:adjustRightInd/>
              <w:textAlignment w:val="auto"/>
              <w:rPr>
                <w:rFonts w:ascii="Arial" w:hAnsi="Arial" w:cs="Arial"/>
                <w:b/>
                <w:u w:val="single"/>
                <w:lang w:val="en-MY" w:eastAsia="en-MY"/>
              </w:rPr>
            </w:pPr>
            <w:r>
              <w:rPr>
                <w:rFonts w:ascii="Arial" w:hAnsi="Arial" w:cs="Arial"/>
                <w:b/>
                <w:u w:val="single"/>
                <w:lang w:val="en-MY" w:eastAsia="en-MY"/>
              </w:rPr>
              <w:t>Financial</w:t>
            </w:r>
            <w:r w:rsidRPr="002F6F8E">
              <w:rPr>
                <w:rFonts w:ascii="Arial" w:hAnsi="Arial" w:cs="Arial"/>
                <w:b/>
                <w:u w:val="single"/>
                <w:lang w:val="en-MY" w:eastAsia="en-MY"/>
              </w:rPr>
              <w:t xml:space="preserve"> year to date</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equipment</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Engineering</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r>
      <w:tr w:rsidR="00B02748" w:rsidRPr="00CC1AEE" w:rsidTr="00185C38">
        <w:trPr>
          <w:trHeight w:val="268"/>
        </w:trPr>
        <w:tc>
          <w:tcPr>
            <w:tcW w:w="3272" w:type="dxa"/>
            <w:shd w:val="clear" w:color="auto" w:fill="auto"/>
            <w:noWrap/>
            <w:vAlign w:val="bottom"/>
          </w:tcPr>
          <w:p w:rsidR="004C19DA" w:rsidRPr="004C19DA" w:rsidRDefault="00B02748" w:rsidP="00002067">
            <w:pPr>
              <w:overflowPunct/>
              <w:autoSpaceDE/>
              <w:autoSpaceDN/>
              <w:adjustRightInd/>
              <w:textAlignment w:val="auto"/>
              <w:rPr>
                <w:rFonts w:ascii="Arial" w:hAnsi="Arial" w:cs="Arial"/>
                <w:b/>
                <w:u w:val="single"/>
                <w:lang w:val="en-MY" w:eastAsia="en-MY"/>
              </w:rPr>
            </w:pPr>
            <w:r w:rsidRPr="00CC1AEE">
              <w:rPr>
                <w:rFonts w:ascii="Arial" w:hAnsi="Arial" w:cs="Arial"/>
                <w:b/>
                <w:u w:val="single"/>
                <w:lang w:val="en-MY" w:eastAsia="en-MY"/>
              </w:rPr>
              <w:t>3</w:t>
            </w:r>
            <w:r w:rsidR="004C19DA">
              <w:rPr>
                <w:rFonts w:ascii="Arial" w:hAnsi="Arial" w:cs="Arial"/>
                <w:b/>
                <w:u w:val="single"/>
                <w:lang w:val="en-MY" w:eastAsia="en-MY"/>
              </w:rPr>
              <w:t>1</w:t>
            </w:r>
            <w:r w:rsidR="00002067" w:rsidRPr="00002067">
              <w:rPr>
                <w:rFonts w:ascii="Arial" w:hAnsi="Arial" w:cs="Arial"/>
                <w:b/>
                <w:u w:val="single"/>
                <w:vertAlign w:val="superscript"/>
                <w:lang w:val="en-MY" w:eastAsia="en-MY"/>
              </w:rPr>
              <w:t>st</w:t>
            </w:r>
            <w:r w:rsidR="00002067">
              <w:rPr>
                <w:rFonts w:ascii="Arial" w:hAnsi="Arial" w:cs="Arial"/>
                <w:b/>
                <w:u w:val="single"/>
                <w:lang w:val="en-MY" w:eastAsia="en-MY"/>
              </w:rPr>
              <w:t xml:space="preserve"> March </w:t>
            </w:r>
            <w:r w:rsidRPr="00CC1AEE">
              <w:rPr>
                <w:rFonts w:ascii="Arial" w:hAnsi="Arial" w:cs="Arial"/>
                <w:b/>
                <w:u w:val="single"/>
                <w:lang w:val="en-MY" w:eastAsia="en-MY"/>
              </w:rPr>
              <w:t>201</w:t>
            </w:r>
            <w:r w:rsidR="004C19DA">
              <w:rPr>
                <w:rFonts w:ascii="Arial" w:hAnsi="Arial" w:cs="Arial"/>
                <w:b/>
                <w:u w:val="single"/>
                <w:lang w:val="en-MY" w:eastAsia="en-MY"/>
              </w:rPr>
              <w:t>3</w:t>
            </w:r>
          </w:p>
        </w:tc>
        <w:tc>
          <w:tcPr>
            <w:tcW w:w="1260"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others</w:t>
            </w:r>
          </w:p>
        </w:tc>
        <w:tc>
          <w:tcPr>
            <w:tcW w:w="337"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rental</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contract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Elimination</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Total</w:t>
            </w:r>
          </w:p>
        </w:tc>
      </w:tr>
      <w:tr w:rsidR="00B02748" w:rsidRPr="00CC1AEE" w:rsidTr="00185C38">
        <w:trPr>
          <w:trHeight w:val="268"/>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b/>
                <w:u w:val="single"/>
                <w:lang w:val="en-MY" w:eastAsia="en-MY"/>
              </w:rPr>
            </w:pPr>
          </w:p>
        </w:tc>
        <w:tc>
          <w:tcPr>
            <w:tcW w:w="1260" w:type="dxa"/>
            <w:tcBorders>
              <w:top w:val="single" w:sz="4" w:space="0" w:color="auto"/>
            </w:tcBorders>
            <w:shd w:val="clear" w:color="auto" w:fill="auto"/>
            <w:noWrap/>
            <w:vAlign w:val="bottom"/>
          </w:tcPr>
          <w:p w:rsidR="00B02748" w:rsidRPr="007958A1"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337" w:type="dxa"/>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r>
      <w:tr w:rsidR="00B02748" w:rsidRPr="00CC1AEE" w:rsidTr="00185C38">
        <w:trPr>
          <w:trHeight w:val="253"/>
        </w:trPr>
        <w:tc>
          <w:tcPr>
            <w:tcW w:w="3272"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REVENUE</w:t>
            </w:r>
          </w:p>
        </w:tc>
        <w:tc>
          <w:tcPr>
            <w:tcW w:w="1260"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1579"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79"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372"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94"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481"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Revenue from external sales</w:t>
            </w:r>
          </w:p>
        </w:tc>
        <w:tc>
          <w:tcPr>
            <w:tcW w:w="1260" w:type="dxa"/>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4C19DA">
              <w:rPr>
                <w:rFonts w:ascii="Arial" w:hAnsi="Arial" w:cs="Arial"/>
                <w:lang w:val="en-MY" w:eastAsia="en-MY"/>
              </w:rPr>
              <w:t>168,230</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bottom w:val="nil"/>
              <w:right w:val="nil"/>
            </w:tcBorders>
          </w:tcPr>
          <w:p w:rsidR="00B02748"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4C19DA">
              <w:rPr>
                <w:rFonts w:ascii="Arial" w:hAnsi="Arial" w:cs="Arial"/>
                <w:lang w:val="en-MY" w:eastAsia="en-MY"/>
              </w:rPr>
              <w:t>119,747</w:t>
            </w:r>
            <w:r w:rsidRPr="00CC1AEE">
              <w:rPr>
                <w:rFonts w:ascii="Arial" w:hAnsi="Arial" w:cs="Arial"/>
                <w:lang w:val="en-MY" w:eastAsia="en-MY"/>
              </w:rPr>
              <w:t xml:space="preserve"> </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4C19DA">
              <w:rPr>
                <w:rFonts w:ascii="Arial" w:hAnsi="Arial" w:cs="Arial"/>
                <w:lang w:val="en-MY" w:eastAsia="en-MY"/>
              </w:rPr>
              <w:t>26,429</w:t>
            </w:r>
            <w:r w:rsidRPr="00CC1AEE">
              <w:rPr>
                <w:rFonts w:ascii="Arial" w:hAnsi="Arial" w:cs="Arial"/>
                <w:lang w:val="en-MY" w:eastAsia="en-MY"/>
              </w:rPr>
              <w:t xml:space="preserve"> </w:t>
            </w: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4C19DA">
              <w:rPr>
                <w:rFonts w:ascii="Arial" w:hAnsi="Arial" w:cs="Arial"/>
                <w:lang w:val="en-MY" w:eastAsia="en-MY"/>
              </w:rPr>
              <w:t>314,406</w:t>
            </w:r>
            <w:r w:rsidRPr="00CC1AEE">
              <w:rPr>
                <w:rFonts w:ascii="Arial" w:hAnsi="Arial" w:cs="Arial"/>
                <w:lang w:val="en-MY" w:eastAsia="en-MY"/>
              </w:rPr>
              <w:t xml:space="preserve"> </w:t>
            </w: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Inter-segment sales</w:t>
            </w:r>
          </w:p>
        </w:tc>
        <w:tc>
          <w:tcPr>
            <w:tcW w:w="1260" w:type="dxa"/>
            <w:tcBorders>
              <w:top w:val="nil"/>
              <w:left w:val="nil"/>
              <w:bottom w:val="nil"/>
              <w:right w:val="nil"/>
            </w:tcBorders>
            <w:shd w:val="clear" w:color="auto" w:fill="auto"/>
            <w:noWrap/>
            <w:vAlign w:val="bottom"/>
          </w:tcPr>
          <w:p w:rsidR="00B02748" w:rsidRPr="00CC1AEE" w:rsidRDefault="004C19DA"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20,866</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4C19DA">
              <w:rPr>
                <w:rFonts w:ascii="Arial" w:hAnsi="Arial" w:cs="Arial"/>
                <w:lang w:val="en-MY" w:eastAsia="en-MY"/>
              </w:rPr>
              <w:t>18,441</w:t>
            </w:r>
            <w:r w:rsidRPr="00CC1AEE">
              <w:rPr>
                <w:rFonts w:ascii="Arial" w:hAnsi="Arial" w:cs="Arial"/>
                <w:lang w:val="en-MY" w:eastAsia="en-MY"/>
              </w:rPr>
              <w:t xml:space="preserve"> </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nil"/>
              <w:left w:val="nil"/>
              <w:bottom w:val="nil"/>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4C19DA">
              <w:rPr>
                <w:rFonts w:ascii="Arial" w:hAnsi="Arial" w:cs="Arial"/>
                <w:lang w:val="en-MY" w:eastAsia="en-MY"/>
              </w:rPr>
              <w:t>39,307</w:t>
            </w:r>
            <w:r w:rsidRPr="00CC1AEE">
              <w:rPr>
                <w:rFonts w:ascii="Arial" w:hAnsi="Arial" w:cs="Arial"/>
                <w:lang w:val="en-MY" w:eastAsia="en-MY"/>
              </w:rPr>
              <w:t>)</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r>
      <w:tr w:rsidR="00B02748" w:rsidRPr="00CC1AEE" w:rsidTr="00185C38">
        <w:trPr>
          <w:trHeight w:val="268"/>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60" w:type="dxa"/>
            <w:tcBorders>
              <w:top w:val="single" w:sz="4" w:space="0" w:color="auto"/>
              <w:left w:val="nil"/>
              <w:bottom w:val="double" w:sz="6" w:space="0" w:color="auto"/>
              <w:right w:val="nil"/>
            </w:tcBorders>
            <w:shd w:val="clear" w:color="auto" w:fill="auto"/>
            <w:noWrap/>
            <w:vAlign w:val="bottom"/>
          </w:tcPr>
          <w:p w:rsidR="00B02748" w:rsidRPr="00CC1AEE" w:rsidRDefault="004C19DA"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189,096</w:t>
            </w:r>
            <w:r w:rsidR="00B02748" w:rsidRPr="00CC1AEE">
              <w:rPr>
                <w:rFonts w:ascii="Arial" w:hAnsi="Arial" w:cs="Arial"/>
                <w:lang w:val="en-MY" w:eastAsia="en-MY"/>
              </w:rPr>
              <w:t xml:space="preserve"> </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single" w:sz="4" w:space="0" w:color="auto"/>
              <w:left w:val="nil"/>
              <w:bottom w:val="double" w:sz="6" w:space="0" w:color="auto"/>
              <w:right w:val="nil"/>
            </w:tcBorders>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single" w:sz="4" w:space="0" w:color="auto"/>
              <w:left w:val="nil"/>
              <w:bottom w:val="double" w:sz="6" w:space="0" w:color="auto"/>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4C19DA">
              <w:rPr>
                <w:rFonts w:ascii="Arial" w:hAnsi="Arial" w:cs="Arial"/>
                <w:lang w:val="en-MY" w:eastAsia="en-MY"/>
              </w:rPr>
              <w:t>138,188</w:t>
            </w:r>
            <w:r w:rsidRPr="00CC1AEE">
              <w:rPr>
                <w:rFonts w:ascii="Arial" w:hAnsi="Arial" w:cs="Arial"/>
                <w:lang w:val="en-MY" w:eastAsia="en-MY"/>
              </w:rPr>
              <w:t xml:space="preserve"> </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single" w:sz="4" w:space="0" w:color="auto"/>
              <w:left w:val="nil"/>
              <w:bottom w:val="double" w:sz="6" w:space="0" w:color="auto"/>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4C19DA">
              <w:rPr>
                <w:rFonts w:ascii="Arial" w:hAnsi="Arial" w:cs="Arial"/>
                <w:lang w:val="en-MY" w:eastAsia="en-MY"/>
              </w:rPr>
              <w:t>26,429</w:t>
            </w:r>
            <w:r w:rsidRPr="00CC1AEE">
              <w:rPr>
                <w:rFonts w:ascii="Arial" w:hAnsi="Arial" w:cs="Arial"/>
                <w:lang w:val="en-MY" w:eastAsia="en-MY"/>
              </w:rPr>
              <w:t xml:space="preserve"> </w:t>
            </w: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single" w:sz="4" w:space="0" w:color="auto"/>
              <w:left w:val="nil"/>
              <w:bottom w:val="double" w:sz="6" w:space="0" w:color="auto"/>
              <w:right w:val="nil"/>
            </w:tcBorders>
            <w:shd w:val="clear" w:color="auto" w:fill="auto"/>
            <w:noWrap/>
            <w:vAlign w:val="bottom"/>
          </w:tcPr>
          <w:p w:rsidR="00B02748" w:rsidRPr="00CC1AEE" w:rsidRDefault="00B02748"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4C19DA">
              <w:rPr>
                <w:rFonts w:ascii="Arial" w:hAnsi="Arial" w:cs="Arial"/>
                <w:lang w:val="en-MY" w:eastAsia="en-MY"/>
              </w:rPr>
              <w:t>39,307</w:t>
            </w:r>
            <w:r w:rsidRPr="00CC1AEE">
              <w:rPr>
                <w:rFonts w:ascii="Arial" w:hAnsi="Arial" w:cs="Arial"/>
                <w:lang w:val="en-MY" w:eastAsia="en-MY"/>
              </w:rPr>
              <w:t>)</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single" w:sz="4" w:space="0" w:color="auto"/>
              <w:left w:val="nil"/>
              <w:bottom w:val="double" w:sz="6" w:space="0" w:color="auto"/>
              <w:right w:val="nil"/>
            </w:tcBorders>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314,406</w:t>
            </w:r>
            <w:r w:rsidR="00B02748" w:rsidRPr="00CC1AEE">
              <w:rPr>
                <w:rFonts w:ascii="Arial" w:hAnsi="Arial" w:cs="Arial"/>
                <w:lang w:val="en-MY" w:eastAsia="en-MY"/>
              </w:rPr>
              <w:t xml:space="preserve"> </w:t>
            </w:r>
          </w:p>
        </w:tc>
      </w:tr>
      <w:tr w:rsidR="00B02748" w:rsidRPr="00CC1AEE" w:rsidTr="00185C38">
        <w:trPr>
          <w:gridAfter w:val="1"/>
          <w:wAfter w:w="1231" w:type="dxa"/>
          <w:trHeight w:val="268"/>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6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279"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94"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829" w:type="dxa"/>
            <w:gridSpan w:val="6"/>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RESULTS</w:t>
            </w:r>
          </w:p>
        </w:tc>
        <w:tc>
          <w:tcPr>
            <w:tcW w:w="126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141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7"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557" w:type="dxa"/>
            <w:gridSpan w:val="4"/>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8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495"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Profit before taxation</w:t>
            </w:r>
          </w:p>
        </w:tc>
        <w:tc>
          <w:tcPr>
            <w:tcW w:w="1260" w:type="dxa"/>
            <w:tcBorders>
              <w:top w:val="nil"/>
              <w:left w:val="nil"/>
              <w:bottom w:val="nil"/>
              <w:right w:val="nil"/>
            </w:tcBorders>
            <w:shd w:val="clear" w:color="auto" w:fill="auto"/>
            <w:noWrap/>
            <w:vAlign w:val="bottom"/>
          </w:tcPr>
          <w:p w:rsidR="00B02748" w:rsidRPr="00CC1AEE" w:rsidRDefault="0024266B" w:rsidP="00966050">
            <w:pPr>
              <w:overflowPunct/>
              <w:autoSpaceDE/>
              <w:autoSpaceDN/>
              <w:adjustRightInd/>
              <w:jc w:val="right"/>
              <w:textAlignment w:val="auto"/>
              <w:rPr>
                <w:rFonts w:ascii="Arial" w:hAnsi="Arial" w:cs="Arial"/>
                <w:lang w:val="en-MY" w:eastAsia="en-MY"/>
              </w:rPr>
            </w:pPr>
            <w:r>
              <w:rPr>
                <w:rFonts w:ascii="Arial" w:hAnsi="Arial" w:cs="Arial"/>
                <w:lang w:val="en-MY" w:eastAsia="en-MY"/>
              </w:rPr>
              <w:t>5,728</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bottom w:val="nil"/>
              <w:right w:val="nil"/>
            </w:tcBorders>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tcBorders>
              <w:top w:val="nil"/>
              <w:left w:val="nil"/>
              <w:bottom w:val="nil"/>
              <w:right w:val="nil"/>
            </w:tcBorders>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20,192</w:t>
            </w:r>
          </w:p>
        </w:tc>
        <w:tc>
          <w:tcPr>
            <w:tcW w:w="257"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tcBorders>
              <w:top w:val="nil"/>
              <w:left w:val="nil"/>
              <w:bottom w:val="nil"/>
              <w:right w:val="nil"/>
            </w:tcBorders>
            <w:shd w:val="clear" w:color="auto" w:fill="auto"/>
            <w:noWrap/>
            <w:vAlign w:val="bottom"/>
          </w:tcPr>
          <w:p w:rsidR="00B02748" w:rsidRPr="00CC1AEE" w:rsidRDefault="004C19DA"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(472)</w:t>
            </w:r>
            <w:r w:rsidR="00B02748" w:rsidRPr="00CC1AEE">
              <w:rPr>
                <w:rFonts w:ascii="Arial" w:hAnsi="Arial" w:cs="Arial"/>
                <w:lang w:val="en-MY" w:eastAsia="en-MY"/>
              </w:rPr>
              <w:t xml:space="preserve"> </w:t>
            </w: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tcBorders>
              <w:top w:val="nil"/>
              <w:left w:val="nil"/>
              <w:bottom w:val="nil"/>
              <w:right w:val="nil"/>
            </w:tcBorders>
            <w:shd w:val="clear" w:color="auto" w:fill="auto"/>
            <w:noWrap/>
            <w:vAlign w:val="bottom"/>
          </w:tcPr>
          <w:p w:rsidR="00B02748" w:rsidRPr="00CC1AEE" w:rsidRDefault="0024266B" w:rsidP="0024266B">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tcBorders>
              <w:top w:val="nil"/>
              <w:left w:val="nil"/>
              <w:bottom w:val="nil"/>
              <w:right w:val="nil"/>
            </w:tcBorders>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25,448</w:t>
            </w:r>
          </w:p>
        </w:tc>
      </w:tr>
      <w:tr w:rsidR="00B02748" w:rsidRPr="00CC1AEE" w:rsidTr="00185C38">
        <w:trPr>
          <w:trHeight w:val="253"/>
        </w:trPr>
        <w:tc>
          <w:tcPr>
            <w:tcW w:w="3272" w:type="dxa"/>
            <w:tcBorders>
              <w:top w:val="nil"/>
              <w:left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60" w:type="dxa"/>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337" w:type="dxa"/>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right w:val="nil"/>
            </w:tcBorders>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16" w:type="dxa"/>
            <w:gridSpan w:val="2"/>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7" w:type="dxa"/>
            <w:gridSpan w:val="3"/>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r>
      <w:tr w:rsidR="00B02748" w:rsidRPr="00CC1AEE" w:rsidTr="00185C38">
        <w:trPr>
          <w:trHeight w:val="253"/>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Profit before taxation</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r>
      <w:tr w:rsidR="00B02748" w:rsidRPr="00CC1AEE" w:rsidTr="004C19DA">
        <w:trPr>
          <w:trHeight w:val="245"/>
        </w:trPr>
        <w:tc>
          <w:tcPr>
            <w:tcW w:w="3272" w:type="dxa"/>
            <w:shd w:val="clear" w:color="auto" w:fill="auto"/>
            <w:noWrap/>
            <w:vAlign w:val="bottom"/>
          </w:tcPr>
          <w:p w:rsidR="00B02748" w:rsidRPr="00CC1AEE" w:rsidRDefault="00B02748" w:rsidP="00185C38">
            <w:pPr>
              <w:overflowPunct/>
              <w:autoSpaceDE/>
              <w:autoSpaceDN/>
              <w:adjustRightInd/>
              <w:ind w:firstLineChars="100" w:firstLine="200"/>
              <w:textAlignment w:val="auto"/>
              <w:rPr>
                <w:rFonts w:ascii="Arial" w:hAnsi="Arial" w:cs="Arial"/>
                <w:lang w:val="en-MY" w:eastAsia="en-MY"/>
              </w:rPr>
            </w:pPr>
            <w:r w:rsidRPr="00CC1AEE">
              <w:rPr>
                <w:rFonts w:ascii="Arial" w:hAnsi="Arial" w:cs="Arial"/>
                <w:lang w:val="en-MY" w:eastAsia="en-MY"/>
              </w:rPr>
              <w:t>includes:</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r>
      <w:tr w:rsidR="00B02748" w:rsidRPr="00CC1AEE" w:rsidTr="00185C38">
        <w:trPr>
          <w:trHeight w:val="253"/>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Amortisation</w:t>
            </w:r>
          </w:p>
        </w:tc>
        <w:tc>
          <w:tcPr>
            <w:tcW w:w="1260" w:type="dxa"/>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875</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15</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890</w:t>
            </w:r>
          </w:p>
        </w:tc>
      </w:tr>
      <w:tr w:rsidR="00B02748" w:rsidRPr="00CC1AEE" w:rsidTr="00185C38">
        <w:trPr>
          <w:trHeight w:val="505"/>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Fair value adjustment to investment properties</w:t>
            </w:r>
          </w:p>
        </w:tc>
        <w:tc>
          <w:tcPr>
            <w:tcW w:w="1260" w:type="dxa"/>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58</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109</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14</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181</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Depreciation</w:t>
            </w:r>
          </w:p>
        </w:tc>
        <w:tc>
          <w:tcPr>
            <w:tcW w:w="1260" w:type="dxa"/>
            <w:shd w:val="clear" w:color="auto" w:fill="auto"/>
            <w:noWrap/>
            <w:vAlign w:val="bottom"/>
          </w:tcPr>
          <w:p w:rsidR="00B02748" w:rsidRPr="00CC1AEE" w:rsidRDefault="004C19DA" w:rsidP="004C19DA">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4,181</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7,180</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4C19DA"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380</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11,741</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Finance Cost</w:t>
            </w:r>
          </w:p>
        </w:tc>
        <w:tc>
          <w:tcPr>
            <w:tcW w:w="1260" w:type="dxa"/>
            <w:shd w:val="clear" w:color="auto" w:fill="auto"/>
            <w:noWrap/>
            <w:vAlign w:val="bottom"/>
          </w:tcPr>
          <w:p w:rsidR="00B02748" w:rsidRPr="00CC1AEE" w:rsidRDefault="004C19DA" w:rsidP="008B287E">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3,54</w:t>
            </w:r>
            <w:r w:rsidR="008B287E">
              <w:rPr>
                <w:rFonts w:ascii="Arial" w:hAnsi="Arial" w:cs="Arial"/>
                <w:color w:val="000000"/>
                <w:lang w:val="en-MY" w:eastAsia="en-MY"/>
              </w:rPr>
              <w:t>2</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2,979</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4C19D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114</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color w:val="000000"/>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4C19DA" w:rsidP="008B287E">
            <w:pPr>
              <w:overflowPunct/>
              <w:autoSpaceDE/>
              <w:autoSpaceDN/>
              <w:adjustRightInd/>
              <w:jc w:val="right"/>
              <w:textAlignment w:val="auto"/>
              <w:rPr>
                <w:rFonts w:ascii="Arial" w:hAnsi="Arial" w:cs="Arial"/>
                <w:lang w:val="en-MY" w:eastAsia="en-MY"/>
              </w:rPr>
            </w:pPr>
            <w:r>
              <w:rPr>
                <w:rFonts w:ascii="Arial" w:hAnsi="Arial" w:cs="Arial"/>
                <w:lang w:val="en-MY" w:eastAsia="en-MY"/>
              </w:rPr>
              <w:t>6,63</w:t>
            </w:r>
            <w:r w:rsidR="008B287E">
              <w:rPr>
                <w:rFonts w:ascii="Arial" w:hAnsi="Arial" w:cs="Arial"/>
                <w:lang w:val="en-MY" w:eastAsia="en-MY"/>
              </w:rPr>
              <w:t>5</w:t>
            </w:r>
          </w:p>
        </w:tc>
      </w:tr>
      <w:tr w:rsidR="00B02748" w:rsidRPr="00CC1AEE" w:rsidTr="00185C38">
        <w:trPr>
          <w:trHeight w:val="505"/>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Reversal of Impairment of trade receivables</w:t>
            </w:r>
          </w:p>
        </w:tc>
        <w:tc>
          <w:tcPr>
            <w:tcW w:w="1260" w:type="dxa"/>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w:t>
            </w:r>
            <w:r w:rsidR="00AD62B4">
              <w:rPr>
                <w:rFonts w:ascii="Arial" w:hAnsi="Arial" w:cs="Arial"/>
                <w:color w:val="000000"/>
                <w:lang w:val="en-MY" w:eastAsia="en-MY"/>
              </w:rPr>
              <w:t>983</w:t>
            </w:r>
            <w:r>
              <w:rPr>
                <w:rFonts w:ascii="Arial" w:hAnsi="Arial" w:cs="Arial"/>
                <w:color w:val="000000"/>
                <w:lang w:val="en-MY" w:eastAsia="en-MY"/>
              </w:rPr>
              <w:t>)</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w:t>
            </w:r>
            <w:r w:rsidR="00AD62B4">
              <w:rPr>
                <w:rFonts w:ascii="Arial" w:hAnsi="Arial" w:cs="Arial"/>
                <w:color w:val="000000"/>
                <w:lang w:val="en-MY" w:eastAsia="en-MY"/>
              </w:rPr>
              <w:t>1,219</w:t>
            </w:r>
            <w:r>
              <w:rPr>
                <w:rFonts w:ascii="Arial" w:hAnsi="Arial" w:cs="Arial"/>
                <w:color w:val="000000"/>
                <w:lang w:val="en-MY" w:eastAsia="en-MY"/>
              </w:rPr>
              <w:t>)</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B02748" w:rsidP="00AD62B4">
            <w:pPr>
              <w:overflowPunct/>
              <w:autoSpaceDE/>
              <w:autoSpaceDN/>
              <w:adjustRightInd/>
              <w:ind w:right="34"/>
              <w:jc w:val="right"/>
              <w:textAlignment w:val="auto"/>
              <w:rPr>
                <w:rFonts w:ascii="Arial" w:hAnsi="Arial" w:cs="Arial"/>
                <w:lang w:val="en-MY" w:eastAsia="en-MY"/>
              </w:rPr>
            </w:pPr>
            <w:r>
              <w:rPr>
                <w:rFonts w:ascii="Arial" w:hAnsi="Arial" w:cs="Arial"/>
                <w:lang w:val="en-MY" w:eastAsia="en-MY"/>
              </w:rPr>
              <w:t>(</w:t>
            </w:r>
            <w:r w:rsidR="00AD62B4">
              <w:rPr>
                <w:rFonts w:ascii="Arial" w:hAnsi="Arial" w:cs="Arial"/>
                <w:lang w:val="en-MY" w:eastAsia="en-MY"/>
              </w:rPr>
              <w:t>2,202</w:t>
            </w:r>
            <w:r>
              <w:rPr>
                <w:rFonts w:ascii="Arial" w:hAnsi="Arial" w:cs="Arial"/>
                <w:lang w:val="en-MY" w:eastAsia="en-MY"/>
              </w:rPr>
              <w:t>)</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Impairment of trade receivables</w:t>
            </w:r>
          </w:p>
        </w:tc>
        <w:tc>
          <w:tcPr>
            <w:tcW w:w="1260" w:type="dxa"/>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w:t>
            </w:r>
            <w:r w:rsidR="00AD62B4">
              <w:rPr>
                <w:rFonts w:ascii="Arial" w:hAnsi="Arial" w:cs="Arial"/>
                <w:color w:val="000000"/>
                <w:lang w:val="en-MY" w:eastAsia="en-MY"/>
              </w:rPr>
              <w:t>492</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w:t>
            </w:r>
            <w:r w:rsidR="00AD62B4">
              <w:rPr>
                <w:rFonts w:ascii="Arial" w:hAnsi="Arial" w:cs="Arial"/>
                <w:color w:val="000000"/>
                <w:lang w:val="en-MY" w:eastAsia="en-MY"/>
              </w:rPr>
              <w:t>806</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AD62B4" w:rsidP="00AD62B4">
            <w:pPr>
              <w:overflowPunct/>
              <w:autoSpaceDE/>
              <w:autoSpaceDN/>
              <w:adjustRightInd/>
              <w:jc w:val="right"/>
              <w:textAlignment w:val="auto"/>
              <w:rPr>
                <w:rFonts w:ascii="Arial" w:hAnsi="Arial" w:cs="Arial"/>
                <w:lang w:val="en-MY" w:eastAsia="en-MY"/>
              </w:rPr>
            </w:pPr>
            <w:r>
              <w:rPr>
                <w:rFonts w:ascii="Arial" w:hAnsi="Arial" w:cs="Arial"/>
                <w:lang w:val="en-MY" w:eastAsia="en-MY"/>
              </w:rPr>
              <w:t>3,298</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Pr>
                <w:rFonts w:ascii="Arial" w:hAnsi="Arial" w:cs="Arial"/>
                <w:color w:val="000000"/>
                <w:lang w:val="en-MY" w:eastAsia="en-MY"/>
              </w:rPr>
              <w:t>Bad debts recovered</w:t>
            </w:r>
          </w:p>
        </w:tc>
        <w:tc>
          <w:tcPr>
            <w:tcW w:w="1260" w:type="dxa"/>
            <w:shd w:val="clear" w:color="auto" w:fill="auto"/>
            <w:noWrap/>
            <w:vAlign w:val="bottom"/>
          </w:tcPr>
          <w:p w:rsidR="00B02748" w:rsidRDefault="00B02748"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Default="00B02748"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(19)</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(19)</w:t>
            </w:r>
          </w:p>
        </w:tc>
      </w:tr>
      <w:tr w:rsidR="00B02748" w:rsidRPr="00CC1AEE" w:rsidTr="00185C38">
        <w:trPr>
          <w:trHeight w:val="241"/>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Bad debt written off</w:t>
            </w:r>
          </w:p>
        </w:tc>
        <w:tc>
          <w:tcPr>
            <w:tcW w:w="1260" w:type="dxa"/>
            <w:shd w:val="clear" w:color="auto" w:fill="auto"/>
            <w:noWrap/>
            <w:vAlign w:val="bottom"/>
          </w:tcPr>
          <w:p w:rsidR="00B02748" w:rsidRPr="00CC1AEE" w:rsidRDefault="00AD62B4" w:rsidP="00966050">
            <w:pPr>
              <w:overflowPunct/>
              <w:autoSpaceDE/>
              <w:autoSpaceDN/>
              <w:adjustRightInd/>
              <w:ind w:right="-14"/>
              <w:jc w:val="right"/>
              <w:textAlignment w:val="auto"/>
              <w:rPr>
                <w:rFonts w:ascii="Arial" w:hAnsi="Arial" w:cs="Arial"/>
                <w:lang w:val="en-MY" w:eastAsia="en-MY"/>
              </w:rPr>
            </w:pPr>
            <w:r>
              <w:rPr>
                <w:rFonts w:ascii="Arial" w:hAnsi="Arial" w:cs="Arial"/>
                <w:lang w:val="en-MY" w:eastAsia="en-MY"/>
              </w:rPr>
              <w:t>33</w:t>
            </w:r>
          </w:p>
        </w:tc>
        <w:tc>
          <w:tcPr>
            <w:tcW w:w="337" w:type="dxa"/>
            <w:shd w:val="clear" w:color="auto" w:fill="auto"/>
            <w:noWrap/>
            <w:vAlign w:val="bottom"/>
          </w:tcPr>
          <w:p w:rsidR="00B02748" w:rsidRPr="00CC1AEE" w:rsidRDefault="00B02748" w:rsidP="00185C38">
            <w:pPr>
              <w:overflowPunct/>
              <w:autoSpaceDE/>
              <w:autoSpaceDN/>
              <w:adjustRightInd/>
              <w:ind w:left="-202"/>
              <w:textAlignment w:val="auto"/>
              <w:rPr>
                <w:rFonts w:ascii="Arial" w:hAnsi="Arial" w:cs="Arial"/>
                <w:lang w:val="en-MY" w:eastAsia="en-MY"/>
              </w:rPr>
            </w:pPr>
          </w:p>
        </w:tc>
        <w:tc>
          <w:tcPr>
            <w:tcW w:w="222" w:type="dxa"/>
          </w:tcPr>
          <w:p w:rsidR="00B02748" w:rsidRDefault="00B02748" w:rsidP="00185C38">
            <w:pPr>
              <w:overflowPunct/>
              <w:autoSpaceDE/>
              <w:autoSpaceDN/>
              <w:adjustRightInd/>
              <w:ind w:left="69"/>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AD62B4" w:rsidP="00185C38">
            <w:pPr>
              <w:overflowPunct/>
              <w:autoSpaceDE/>
              <w:autoSpaceDN/>
              <w:adjustRightInd/>
              <w:ind w:left="69"/>
              <w:jc w:val="right"/>
              <w:textAlignment w:val="auto"/>
              <w:rPr>
                <w:rFonts w:ascii="Arial" w:hAnsi="Arial" w:cs="Arial"/>
                <w:lang w:val="en-MY" w:eastAsia="en-MY"/>
              </w:rPr>
            </w:pPr>
            <w:r>
              <w:rPr>
                <w:rFonts w:ascii="Arial" w:hAnsi="Arial" w:cs="Arial"/>
                <w:lang w:val="en-MY" w:eastAsia="en-MY"/>
              </w:rPr>
              <w:t>85</w:t>
            </w:r>
          </w:p>
        </w:tc>
        <w:tc>
          <w:tcPr>
            <w:tcW w:w="257" w:type="dxa"/>
            <w:gridSpan w:val="3"/>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ind w:left="-3"/>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ind w:left="-1375" w:right="321"/>
              <w:jc w:val="right"/>
              <w:textAlignment w:val="auto"/>
              <w:rPr>
                <w:rFonts w:ascii="Arial" w:hAnsi="Arial" w:cs="Arial"/>
                <w:lang w:val="en-MY" w:eastAsia="en-MY"/>
              </w:rPr>
            </w:pPr>
            <w:r>
              <w:rPr>
                <w:rFonts w:ascii="Arial" w:hAnsi="Arial" w:cs="Arial"/>
                <w:lang w:val="en-MY" w:eastAsia="en-MY"/>
              </w:rPr>
              <w:t>-</w:t>
            </w:r>
          </w:p>
        </w:tc>
        <w:tc>
          <w:tcPr>
            <w:tcW w:w="1280" w:type="dxa"/>
            <w:shd w:val="clear" w:color="auto" w:fill="auto"/>
            <w:noWrap/>
            <w:vAlign w:val="bottom"/>
          </w:tcPr>
          <w:p w:rsidR="00B02748" w:rsidRPr="00CC1AEE" w:rsidRDefault="00B02748" w:rsidP="00185C38">
            <w:pPr>
              <w:overflowPunct/>
              <w:autoSpaceDE/>
              <w:autoSpaceDN/>
              <w:adjustRightInd/>
              <w:ind w:left="-112"/>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AD62B4" w:rsidP="00AD62B4">
            <w:pPr>
              <w:overflowPunct/>
              <w:autoSpaceDE/>
              <w:autoSpaceDN/>
              <w:adjustRightInd/>
              <w:ind w:right="34"/>
              <w:jc w:val="right"/>
              <w:textAlignment w:val="auto"/>
              <w:rPr>
                <w:rFonts w:ascii="Arial" w:hAnsi="Arial" w:cs="Arial"/>
                <w:lang w:val="en-MY" w:eastAsia="en-MY"/>
              </w:rPr>
            </w:pPr>
            <w:r>
              <w:rPr>
                <w:rFonts w:ascii="Arial" w:hAnsi="Arial" w:cs="Arial"/>
                <w:lang w:val="en-MY" w:eastAsia="en-MY"/>
              </w:rPr>
              <w:t>1</w:t>
            </w:r>
            <w:r w:rsidR="00B02748">
              <w:rPr>
                <w:rFonts w:ascii="Arial" w:hAnsi="Arial" w:cs="Arial"/>
                <w:lang w:val="en-MY" w:eastAsia="en-MY"/>
              </w:rPr>
              <w:t>1</w:t>
            </w:r>
            <w:r>
              <w:rPr>
                <w:rFonts w:ascii="Arial" w:hAnsi="Arial" w:cs="Arial"/>
                <w:lang w:val="en-MY" w:eastAsia="en-MY"/>
              </w:rPr>
              <w:t>8</w:t>
            </w:r>
          </w:p>
        </w:tc>
      </w:tr>
      <w:tr w:rsidR="00B02748" w:rsidRPr="00CC1AEE" w:rsidTr="00185C38">
        <w:trPr>
          <w:trHeight w:val="77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Share of profits in jointly controlled entities and associates</w:t>
            </w:r>
          </w:p>
        </w:tc>
        <w:tc>
          <w:tcPr>
            <w:tcW w:w="1260" w:type="dxa"/>
            <w:tcBorders>
              <w:bottom w:val="single" w:sz="4" w:space="0" w:color="auto"/>
            </w:tcBorders>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sidRPr="00CC1AEE">
              <w:rPr>
                <w:rFonts w:ascii="Arial" w:hAnsi="Arial" w:cs="Arial"/>
                <w:color w:val="000000"/>
                <w:lang w:val="en-MY" w:eastAsia="en-MY"/>
              </w:rPr>
              <w:t>(</w:t>
            </w:r>
            <w:r>
              <w:rPr>
                <w:rFonts w:ascii="Arial" w:hAnsi="Arial" w:cs="Arial"/>
                <w:color w:val="000000"/>
                <w:lang w:val="en-MY" w:eastAsia="en-MY"/>
              </w:rPr>
              <w:t>6</w:t>
            </w:r>
            <w:r w:rsidR="00AD62B4">
              <w:rPr>
                <w:rFonts w:ascii="Arial" w:hAnsi="Arial" w:cs="Arial"/>
                <w:color w:val="000000"/>
                <w:lang w:val="en-MY" w:eastAsia="en-MY"/>
              </w:rPr>
              <w:t>6</w:t>
            </w:r>
            <w:r>
              <w:rPr>
                <w:rFonts w:ascii="Arial" w:hAnsi="Arial" w:cs="Arial"/>
                <w:color w:val="000000"/>
                <w:lang w:val="en-MY" w:eastAsia="en-MY"/>
              </w:rPr>
              <w:t>2</w:t>
            </w:r>
            <w:r w:rsidRPr="00CC1AEE">
              <w:rPr>
                <w:rFonts w:ascii="Arial" w:hAnsi="Arial" w:cs="Arial"/>
                <w:color w:val="000000"/>
                <w:lang w:val="en-MY" w:eastAsia="en-MY"/>
              </w:rPr>
              <w:t>)</w:t>
            </w:r>
          </w:p>
        </w:tc>
        <w:tc>
          <w:tcPr>
            <w:tcW w:w="337"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tcBorders>
              <w:bottom w:val="single" w:sz="4" w:space="0" w:color="auto"/>
            </w:tcBorders>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 xml:space="preserve">             (</w:t>
            </w:r>
            <w:r w:rsidR="00AD62B4">
              <w:rPr>
                <w:rFonts w:ascii="Arial" w:hAnsi="Arial" w:cs="Arial"/>
                <w:color w:val="000000"/>
                <w:lang w:val="en-MY" w:eastAsia="en-MY"/>
              </w:rPr>
              <w:t>507</w:t>
            </w:r>
            <w:r w:rsidRPr="00CC1AEE">
              <w:rPr>
                <w:rFonts w:ascii="Arial" w:hAnsi="Arial" w:cs="Arial"/>
                <w:color w:val="000000"/>
                <w:lang w:val="en-MY" w:eastAsia="en-MY"/>
              </w:rPr>
              <w:t>)</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tcBorders>
              <w:bottom w:val="single" w:sz="4" w:space="0" w:color="auto"/>
            </w:tcBorders>
            <w:shd w:val="clear" w:color="auto" w:fill="auto"/>
            <w:noWrap/>
            <w:vAlign w:val="bottom"/>
          </w:tcPr>
          <w:p w:rsidR="00B02748" w:rsidRPr="00CC1AEE" w:rsidRDefault="00B02748" w:rsidP="00AD62B4">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AD62B4">
              <w:rPr>
                <w:rFonts w:ascii="Arial" w:hAnsi="Arial" w:cs="Arial"/>
                <w:lang w:val="en-MY" w:eastAsia="en-MY"/>
              </w:rPr>
              <w:t>1,169</w:t>
            </w:r>
            <w:r>
              <w:rPr>
                <w:rFonts w:ascii="Arial" w:hAnsi="Arial" w:cs="Arial"/>
                <w:lang w:val="en-MY" w:eastAsia="en-MY"/>
              </w:rPr>
              <w:t>)</w:t>
            </w:r>
          </w:p>
        </w:tc>
      </w:tr>
    </w:tbl>
    <w:tbl>
      <w:tblPr>
        <w:tblW w:w="11633" w:type="dxa"/>
        <w:tblInd w:w="-1177" w:type="dxa"/>
        <w:tblLook w:val="0000"/>
      </w:tblPr>
      <w:tblGrid>
        <w:gridCol w:w="3482"/>
        <w:gridCol w:w="1346"/>
        <w:gridCol w:w="367"/>
        <w:gridCol w:w="1477"/>
        <w:gridCol w:w="508"/>
        <w:gridCol w:w="1193"/>
        <w:gridCol w:w="508"/>
        <w:gridCol w:w="1051"/>
        <w:gridCol w:w="590"/>
        <w:gridCol w:w="1111"/>
      </w:tblGrid>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SEGMENT ASSETS</w:t>
            </w:r>
          </w:p>
        </w:tc>
        <w:tc>
          <w:tcPr>
            <w:tcW w:w="1346"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258</w:t>
            </w:r>
            <w:r w:rsidR="00966050">
              <w:rPr>
                <w:rFonts w:ascii="Arial" w:hAnsi="Arial" w:cs="Arial"/>
                <w:lang w:val="en-MY" w:eastAsia="en-MY"/>
              </w:rPr>
              <w:t>,</w:t>
            </w:r>
            <w:r w:rsidR="009C4692">
              <w:rPr>
                <w:rFonts w:ascii="Arial" w:hAnsi="Arial" w:cs="Arial"/>
                <w:lang w:val="en-MY" w:eastAsia="en-MY"/>
              </w:rPr>
              <w:t>311</w:t>
            </w:r>
            <w:r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966050">
              <w:rPr>
                <w:rFonts w:ascii="Arial" w:hAnsi="Arial" w:cs="Arial"/>
                <w:lang w:val="en-MY" w:eastAsia="en-MY"/>
              </w:rPr>
              <w:t>2</w:t>
            </w:r>
            <w:r w:rsidR="009C4692">
              <w:rPr>
                <w:rFonts w:ascii="Arial" w:hAnsi="Arial" w:cs="Arial"/>
                <w:lang w:val="en-MY" w:eastAsia="en-MY"/>
              </w:rPr>
              <w:t>14</w:t>
            </w:r>
            <w:r w:rsidR="00966050">
              <w:rPr>
                <w:rFonts w:ascii="Arial" w:hAnsi="Arial" w:cs="Arial"/>
                <w:lang w:val="en-MY" w:eastAsia="en-MY"/>
              </w:rPr>
              <w:t>,</w:t>
            </w:r>
            <w:r w:rsidR="009C4692">
              <w:rPr>
                <w:rFonts w:ascii="Arial" w:hAnsi="Arial" w:cs="Arial"/>
                <w:lang w:val="en-MY" w:eastAsia="en-MY"/>
              </w:rPr>
              <w:t>290</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55,193</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Pr>
                <w:rFonts w:ascii="Arial" w:hAnsi="Arial" w:cs="Arial"/>
                <w:lang w:val="en-MY" w:eastAsia="en-MY"/>
              </w:rPr>
              <w:t>(</w:t>
            </w:r>
            <w:r w:rsidR="009C4692">
              <w:rPr>
                <w:rFonts w:ascii="Arial" w:hAnsi="Arial" w:cs="Arial"/>
                <w:lang w:val="en-MY" w:eastAsia="en-MY"/>
              </w:rPr>
              <w:t>17,187</w:t>
            </w:r>
            <w:r>
              <w:rPr>
                <w:rFonts w:ascii="Arial" w:hAnsi="Arial" w:cs="Arial"/>
                <w:lang w:val="en-MY" w:eastAsia="en-MY"/>
              </w:rPr>
              <w:t>)</w:t>
            </w:r>
            <w:r w:rsidRPr="00CC1AEE">
              <w:rPr>
                <w:rFonts w:ascii="Arial" w:hAnsi="Arial" w:cs="Arial"/>
                <w:lang w:val="en-MY" w:eastAsia="en-MY"/>
              </w:rPr>
              <w:t xml:space="preserve">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9C4692"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510,607</w:t>
            </w:r>
            <w:r w:rsidR="00185C38" w:rsidRPr="00CC1AEE">
              <w:rPr>
                <w:rFonts w:ascii="Arial" w:hAnsi="Arial" w:cs="Arial"/>
                <w:lang w:val="en-MY" w:eastAsia="en-MY"/>
              </w:rPr>
              <w:t xml:space="preserve"> </w:t>
            </w:r>
          </w:p>
        </w:tc>
      </w:tr>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Deferred tax assets</w:t>
            </w:r>
          </w:p>
        </w:tc>
        <w:tc>
          <w:tcPr>
            <w:tcW w:w="1346" w:type="dxa"/>
            <w:tcBorders>
              <w:top w:val="nil"/>
              <w:left w:val="nil"/>
              <w:bottom w:val="nil"/>
              <w:right w:val="nil"/>
            </w:tcBorders>
            <w:shd w:val="clear" w:color="auto" w:fill="auto"/>
            <w:noWrap/>
            <w:vAlign w:val="bottom"/>
          </w:tcPr>
          <w:p w:rsidR="00185C38" w:rsidRPr="00CC1AEE" w:rsidRDefault="009C4692"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609</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185C38">
            <w:pPr>
              <w:overflowPunct/>
              <w:autoSpaceDE/>
              <w:autoSpaceDN/>
              <w:adjustRightInd/>
              <w:ind w:right="-309"/>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966050"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9C4692">
              <w:rPr>
                <w:rFonts w:ascii="Arial" w:hAnsi="Arial" w:cs="Arial"/>
                <w:lang w:val="en-MY" w:eastAsia="en-MY"/>
              </w:rPr>
              <w:t>408</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9C4692"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1,017</w:t>
            </w:r>
          </w:p>
        </w:tc>
      </w:tr>
      <w:tr w:rsidR="00185C38" w:rsidRPr="00CC1AEE" w:rsidTr="00185C38">
        <w:trPr>
          <w:trHeight w:val="270"/>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TOTAL ASSETS</w:t>
            </w:r>
          </w:p>
        </w:tc>
        <w:tc>
          <w:tcPr>
            <w:tcW w:w="1346" w:type="dxa"/>
            <w:tcBorders>
              <w:top w:val="single" w:sz="4" w:space="0" w:color="auto"/>
              <w:left w:val="nil"/>
              <w:bottom w:val="single" w:sz="8" w:space="0" w:color="auto"/>
              <w:right w:val="nil"/>
            </w:tcBorders>
            <w:shd w:val="clear" w:color="auto" w:fill="auto"/>
            <w:noWrap/>
            <w:vAlign w:val="bottom"/>
          </w:tcPr>
          <w:p w:rsidR="00185C38" w:rsidRPr="00CC1AEE" w:rsidRDefault="009C4692"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258,920</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single" w:sz="4" w:space="0" w:color="auto"/>
              <w:left w:val="nil"/>
              <w:bottom w:val="single" w:sz="8" w:space="0" w:color="auto"/>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214,698</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single" w:sz="4" w:space="0" w:color="auto"/>
              <w:left w:val="nil"/>
              <w:bottom w:val="single" w:sz="8" w:space="0" w:color="auto"/>
              <w:right w:val="nil"/>
            </w:tcBorders>
            <w:shd w:val="clear" w:color="auto" w:fill="auto"/>
            <w:noWrap/>
            <w:vAlign w:val="bottom"/>
          </w:tcPr>
          <w:p w:rsidR="00185C38" w:rsidRPr="00CC1AEE" w:rsidRDefault="009C4692"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55,193</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single" w:sz="4" w:space="0" w:color="auto"/>
              <w:left w:val="nil"/>
              <w:bottom w:val="single" w:sz="8" w:space="0" w:color="auto"/>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Pr>
                <w:rFonts w:ascii="Arial" w:hAnsi="Arial" w:cs="Arial"/>
                <w:lang w:val="en-MY" w:eastAsia="en-MY"/>
              </w:rPr>
              <w:t>(</w:t>
            </w:r>
            <w:r w:rsidR="009C4692">
              <w:rPr>
                <w:rFonts w:ascii="Arial" w:hAnsi="Arial" w:cs="Arial"/>
                <w:lang w:val="en-MY" w:eastAsia="en-MY"/>
              </w:rPr>
              <w:t>17,187</w:t>
            </w:r>
            <w:r>
              <w:rPr>
                <w:rFonts w:ascii="Arial" w:hAnsi="Arial" w:cs="Arial"/>
                <w:lang w:val="en-MY" w:eastAsia="en-MY"/>
              </w:rPr>
              <w:t>)</w:t>
            </w:r>
            <w:r w:rsidRPr="00CC1AEE">
              <w:rPr>
                <w:rFonts w:ascii="Arial" w:hAnsi="Arial" w:cs="Arial"/>
                <w:lang w:val="en-MY" w:eastAsia="en-MY"/>
              </w:rPr>
              <w:t xml:space="preserve">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single" w:sz="4" w:space="0" w:color="auto"/>
              <w:left w:val="nil"/>
              <w:bottom w:val="single" w:sz="8" w:space="0" w:color="auto"/>
              <w:right w:val="nil"/>
            </w:tcBorders>
            <w:shd w:val="clear" w:color="auto" w:fill="auto"/>
            <w:noWrap/>
            <w:vAlign w:val="bottom"/>
          </w:tcPr>
          <w:p w:rsidR="00185C38" w:rsidRPr="00CC1AEE" w:rsidRDefault="009C4692"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511,624</w:t>
            </w:r>
            <w:r w:rsidR="00185C38" w:rsidRPr="00CC1AEE">
              <w:rPr>
                <w:rFonts w:ascii="Arial" w:hAnsi="Arial" w:cs="Arial"/>
                <w:lang w:val="en-MY" w:eastAsia="en-MY"/>
              </w:rPr>
              <w:t xml:space="preserve"> </w:t>
            </w:r>
          </w:p>
        </w:tc>
      </w:tr>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524"/>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 xml:space="preserve">Included in measure of segment assets are : </w:t>
            </w: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255"/>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Investment in associates</w:t>
            </w:r>
          </w:p>
        </w:tc>
        <w:tc>
          <w:tcPr>
            <w:tcW w:w="1346" w:type="dxa"/>
            <w:tcBorders>
              <w:top w:val="nil"/>
              <w:left w:val="nil"/>
              <w:bottom w:val="nil"/>
              <w:right w:val="nil"/>
            </w:tcBorders>
            <w:shd w:val="clear" w:color="auto" w:fill="auto"/>
            <w:noWrap/>
            <w:vAlign w:val="bottom"/>
          </w:tcPr>
          <w:p w:rsidR="00185C38" w:rsidRPr="00CC1AEE" w:rsidRDefault="00966050" w:rsidP="00002067">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3,0</w:t>
            </w:r>
            <w:r w:rsidR="009C4692">
              <w:rPr>
                <w:rFonts w:ascii="Arial" w:hAnsi="Arial" w:cs="Arial"/>
                <w:lang w:val="en-MY" w:eastAsia="en-MY"/>
              </w:rPr>
              <w:t>67</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966050"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966050">
              <w:rPr>
                <w:rFonts w:ascii="Arial" w:hAnsi="Arial" w:cs="Arial"/>
                <w:lang w:val="en-MY" w:eastAsia="en-MY"/>
              </w:rPr>
              <w:t>3,0</w:t>
            </w:r>
            <w:r w:rsidR="009C4692">
              <w:rPr>
                <w:rFonts w:ascii="Arial" w:hAnsi="Arial" w:cs="Arial"/>
                <w:lang w:val="en-MY" w:eastAsia="en-MY"/>
              </w:rPr>
              <w:t>67</w:t>
            </w:r>
            <w:r w:rsidRPr="00CC1AEE">
              <w:rPr>
                <w:rFonts w:ascii="Arial" w:hAnsi="Arial" w:cs="Arial"/>
                <w:lang w:val="en-MY" w:eastAsia="en-MY"/>
              </w:rPr>
              <w:t xml:space="preserve"> </w:t>
            </w:r>
          </w:p>
        </w:tc>
      </w:tr>
      <w:tr w:rsidR="00185C38" w:rsidRPr="00CC1AEE" w:rsidTr="00185C38">
        <w:trPr>
          <w:trHeight w:val="509"/>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Investment in jointly controlled entities</w:t>
            </w: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3,089</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3</w:t>
            </w:r>
            <w:r w:rsidRPr="00CC1AEE">
              <w:rPr>
                <w:rFonts w:ascii="Arial" w:hAnsi="Arial" w:cs="Arial"/>
                <w:lang w:val="en-MY" w:eastAsia="en-MY"/>
              </w:rPr>
              <w:t>,</w:t>
            </w:r>
            <w:r w:rsidR="009C4692">
              <w:rPr>
                <w:rFonts w:ascii="Arial" w:hAnsi="Arial" w:cs="Arial"/>
                <w:lang w:val="en-MY" w:eastAsia="en-MY"/>
              </w:rPr>
              <w:t>089</w:t>
            </w:r>
            <w:r w:rsidRPr="00CC1AEE">
              <w:rPr>
                <w:rFonts w:ascii="Arial" w:hAnsi="Arial" w:cs="Arial"/>
                <w:lang w:val="en-MY" w:eastAsia="en-MY"/>
              </w:rPr>
              <w:t xml:space="preserve"> </w:t>
            </w:r>
          </w:p>
        </w:tc>
      </w:tr>
      <w:tr w:rsidR="00185C38" w:rsidRPr="00CC1AEE" w:rsidTr="00185C38">
        <w:trPr>
          <w:trHeight w:val="509"/>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Additional to property, plant and equipment</w:t>
            </w:r>
          </w:p>
        </w:tc>
        <w:tc>
          <w:tcPr>
            <w:tcW w:w="1346" w:type="dxa"/>
            <w:tcBorders>
              <w:top w:val="nil"/>
              <w:left w:val="nil"/>
              <w:bottom w:val="nil"/>
              <w:right w:val="nil"/>
            </w:tcBorders>
            <w:shd w:val="clear" w:color="auto" w:fill="auto"/>
            <w:noWrap/>
            <w:vAlign w:val="bottom"/>
          </w:tcPr>
          <w:p w:rsidR="00185C38" w:rsidRPr="00CC1AEE" w:rsidRDefault="00966050"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3,0</w:t>
            </w:r>
            <w:r w:rsidR="009C4692">
              <w:rPr>
                <w:rFonts w:ascii="Arial" w:hAnsi="Arial" w:cs="Arial"/>
                <w:lang w:val="en-MY" w:eastAsia="en-MY"/>
              </w:rPr>
              <w:t>63</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966050"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9C4692">
              <w:rPr>
                <w:rFonts w:ascii="Arial" w:hAnsi="Arial" w:cs="Arial"/>
                <w:lang w:val="en-MY" w:eastAsia="en-MY"/>
              </w:rPr>
              <w:t>2,747</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9C469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6</w:t>
            </w:r>
            <w:r w:rsidR="00966050">
              <w:rPr>
                <w:rFonts w:ascii="Arial" w:hAnsi="Arial" w:cs="Arial"/>
                <w:lang w:val="en-MY" w:eastAsia="en-MY"/>
              </w:rPr>
              <w:t>,</w:t>
            </w:r>
            <w:r w:rsidR="009C4692">
              <w:rPr>
                <w:rFonts w:ascii="Arial" w:hAnsi="Arial" w:cs="Arial"/>
                <w:lang w:val="en-MY" w:eastAsia="en-MY"/>
              </w:rPr>
              <w:t>271</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9C4692"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12</w:t>
            </w:r>
            <w:r w:rsidR="00966050">
              <w:rPr>
                <w:rFonts w:ascii="Arial" w:hAnsi="Arial" w:cs="Arial"/>
                <w:lang w:val="en-MY" w:eastAsia="en-MY"/>
              </w:rPr>
              <w:t>,</w:t>
            </w:r>
            <w:r>
              <w:rPr>
                <w:rFonts w:ascii="Arial" w:hAnsi="Arial" w:cs="Arial"/>
                <w:lang w:val="en-MY" w:eastAsia="en-MY"/>
              </w:rPr>
              <w:t>081</w:t>
            </w:r>
          </w:p>
        </w:tc>
      </w:tr>
      <w:tr w:rsidR="00185C38" w:rsidRPr="00CC1AEE" w:rsidTr="00185C38">
        <w:trPr>
          <w:trHeight w:val="255"/>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SEGMENT LIABILITIES</w:t>
            </w:r>
          </w:p>
        </w:tc>
        <w:tc>
          <w:tcPr>
            <w:tcW w:w="1346" w:type="dxa"/>
            <w:tcBorders>
              <w:top w:val="nil"/>
              <w:left w:val="nil"/>
              <w:bottom w:val="nil"/>
              <w:right w:val="nil"/>
            </w:tcBorders>
            <w:shd w:val="clear" w:color="auto" w:fill="auto"/>
            <w:noWrap/>
            <w:vAlign w:val="bottom"/>
          </w:tcPr>
          <w:p w:rsidR="00185C38" w:rsidRPr="00CC1AEE" w:rsidRDefault="00F81794" w:rsidP="004D41B8">
            <w:pPr>
              <w:overflowPunct/>
              <w:autoSpaceDE/>
              <w:autoSpaceDN/>
              <w:adjustRightInd/>
              <w:jc w:val="right"/>
              <w:textAlignment w:val="auto"/>
              <w:rPr>
                <w:rFonts w:ascii="Arial" w:hAnsi="Arial" w:cs="Arial"/>
                <w:lang w:val="en-MY" w:eastAsia="en-MY"/>
              </w:rPr>
            </w:pPr>
            <w:r>
              <w:rPr>
                <w:rFonts w:ascii="Arial" w:hAnsi="Arial" w:cs="Arial"/>
                <w:lang w:val="en-MY" w:eastAsia="en-MY"/>
              </w:rPr>
              <w:t>89,146</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F81794"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122,061</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F81794" w:rsidP="00F22CA8">
            <w:pPr>
              <w:overflowPunct/>
              <w:autoSpaceDE/>
              <w:autoSpaceDN/>
              <w:adjustRightInd/>
              <w:jc w:val="right"/>
              <w:textAlignment w:val="auto"/>
              <w:rPr>
                <w:rFonts w:ascii="Arial" w:hAnsi="Arial" w:cs="Arial"/>
                <w:lang w:val="en-MY" w:eastAsia="en-MY"/>
              </w:rPr>
            </w:pPr>
            <w:r>
              <w:rPr>
                <w:rFonts w:ascii="Arial" w:hAnsi="Arial" w:cs="Arial"/>
                <w:lang w:val="en-MY" w:eastAsia="en-MY"/>
              </w:rPr>
              <w:t>10,371</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F81794">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F81794">
              <w:rPr>
                <w:rFonts w:ascii="Arial" w:hAnsi="Arial" w:cs="Arial"/>
                <w:lang w:val="en-MY" w:eastAsia="en-MY"/>
              </w:rPr>
              <w:t>17,187</w:t>
            </w:r>
            <w:r>
              <w:rPr>
                <w:rFonts w:ascii="Arial" w:hAnsi="Arial" w:cs="Arial"/>
                <w:lang w:val="en-MY" w:eastAsia="en-MY"/>
              </w:rPr>
              <w:t>)</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F81794" w:rsidP="00033E3A">
            <w:pPr>
              <w:overflowPunct/>
              <w:autoSpaceDE/>
              <w:autoSpaceDN/>
              <w:adjustRightInd/>
              <w:jc w:val="right"/>
              <w:textAlignment w:val="auto"/>
              <w:rPr>
                <w:rFonts w:ascii="Arial" w:hAnsi="Arial" w:cs="Arial"/>
                <w:lang w:val="en-MY" w:eastAsia="en-MY"/>
              </w:rPr>
            </w:pPr>
            <w:r>
              <w:rPr>
                <w:rFonts w:ascii="Arial" w:hAnsi="Arial" w:cs="Arial"/>
                <w:lang w:val="en-MY" w:eastAsia="en-MY"/>
              </w:rPr>
              <w:t>204,391</w:t>
            </w:r>
          </w:p>
        </w:tc>
      </w:tr>
      <w:tr w:rsidR="00185C38" w:rsidRPr="00CC1AEE" w:rsidTr="00185C38">
        <w:trPr>
          <w:trHeight w:val="255"/>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Deferred tax liabilities</w:t>
            </w:r>
          </w:p>
        </w:tc>
        <w:tc>
          <w:tcPr>
            <w:tcW w:w="1346" w:type="dxa"/>
            <w:tcBorders>
              <w:top w:val="nil"/>
              <w:left w:val="nil"/>
              <w:bottom w:val="nil"/>
              <w:right w:val="nil"/>
            </w:tcBorders>
            <w:shd w:val="clear" w:color="auto" w:fill="auto"/>
            <w:noWrap/>
            <w:vAlign w:val="bottom"/>
          </w:tcPr>
          <w:p w:rsidR="00185C38" w:rsidRPr="00CC1AEE" w:rsidRDefault="00F81794" w:rsidP="004D41B8">
            <w:pPr>
              <w:overflowPunct/>
              <w:autoSpaceDE/>
              <w:autoSpaceDN/>
              <w:adjustRightInd/>
              <w:jc w:val="right"/>
              <w:textAlignment w:val="auto"/>
              <w:rPr>
                <w:rFonts w:ascii="Arial" w:hAnsi="Arial" w:cs="Arial"/>
                <w:lang w:val="en-MY" w:eastAsia="en-MY"/>
              </w:rPr>
            </w:pPr>
            <w:r>
              <w:rPr>
                <w:rFonts w:ascii="Arial" w:hAnsi="Arial" w:cs="Arial"/>
                <w:lang w:val="en-MY" w:eastAsia="en-MY"/>
              </w:rPr>
              <w:t>2,607</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F81794"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7,113</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789</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9C4692" w:rsidP="004D41B8">
            <w:pPr>
              <w:overflowPunct/>
              <w:autoSpaceDE/>
              <w:autoSpaceDN/>
              <w:adjustRightInd/>
              <w:jc w:val="right"/>
              <w:textAlignment w:val="auto"/>
              <w:rPr>
                <w:rFonts w:ascii="Arial" w:hAnsi="Arial" w:cs="Arial"/>
                <w:lang w:val="en-MY" w:eastAsia="en-MY"/>
              </w:rPr>
            </w:pPr>
            <w:r>
              <w:rPr>
                <w:rFonts w:ascii="Arial" w:hAnsi="Arial" w:cs="Arial"/>
                <w:lang w:val="en-MY" w:eastAsia="en-MY"/>
              </w:rPr>
              <w:t>10,509</w:t>
            </w:r>
          </w:p>
        </w:tc>
      </w:tr>
      <w:tr w:rsidR="00185C38" w:rsidRPr="00CC1AEE" w:rsidTr="00185C38">
        <w:trPr>
          <w:trHeight w:val="270"/>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TOTAL LIABILITIES</w:t>
            </w:r>
          </w:p>
        </w:tc>
        <w:tc>
          <w:tcPr>
            <w:tcW w:w="1346" w:type="dxa"/>
            <w:tcBorders>
              <w:top w:val="single" w:sz="4" w:space="0" w:color="auto"/>
              <w:left w:val="nil"/>
              <w:bottom w:val="single" w:sz="8" w:space="0" w:color="auto"/>
              <w:right w:val="nil"/>
            </w:tcBorders>
            <w:shd w:val="clear" w:color="auto" w:fill="auto"/>
            <w:noWrap/>
            <w:vAlign w:val="bottom"/>
          </w:tcPr>
          <w:p w:rsidR="00185C38" w:rsidRPr="00CC1AEE" w:rsidRDefault="00F81794"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91,753</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single" w:sz="4" w:space="0" w:color="auto"/>
              <w:left w:val="nil"/>
              <w:bottom w:val="single" w:sz="8" w:space="0" w:color="auto"/>
              <w:right w:val="nil"/>
            </w:tcBorders>
            <w:shd w:val="clear" w:color="auto" w:fill="auto"/>
            <w:noWrap/>
            <w:vAlign w:val="bottom"/>
          </w:tcPr>
          <w:p w:rsidR="00185C38" w:rsidRPr="00CC1AEE" w:rsidRDefault="00F81794"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129,174</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single" w:sz="4" w:space="0" w:color="auto"/>
              <w:left w:val="nil"/>
              <w:bottom w:val="single" w:sz="8" w:space="0" w:color="auto"/>
              <w:right w:val="nil"/>
            </w:tcBorders>
            <w:shd w:val="clear" w:color="auto" w:fill="auto"/>
            <w:noWrap/>
            <w:vAlign w:val="bottom"/>
          </w:tcPr>
          <w:p w:rsidR="00185C38" w:rsidRPr="00CC1AEE" w:rsidRDefault="00F81794"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11,160</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single" w:sz="4" w:space="0" w:color="auto"/>
              <w:left w:val="nil"/>
              <w:bottom w:val="single" w:sz="8" w:space="0" w:color="auto"/>
              <w:right w:val="nil"/>
            </w:tcBorders>
            <w:shd w:val="clear" w:color="auto" w:fill="auto"/>
            <w:noWrap/>
            <w:vAlign w:val="bottom"/>
          </w:tcPr>
          <w:p w:rsidR="00185C38" w:rsidRPr="00CC1AEE" w:rsidRDefault="004D41B8" w:rsidP="00F81794">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F81794">
              <w:rPr>
                <w:rFonts w:ascii="Arial" w:hAnsi="Arial" w:cs="Arial"/>
                <w:lang w:val="en-MY" w:eastAsia="en-MY"/>
              </w:rPr>
              <w:t>17,187</w:t>
            </w:r>
            <w:r w:rsidR="00185C38">
              <w:rPr>
                <w:rFonts w:ascii="Arial" w:hAnsi="Arial" w:cs="Arial"/>
                <w:lang w:val="en-MY" w:eastAsia="en-MY"/>
              </w:rPr>
              <w:t>)</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single" w:sz="4" w:space="0" w:color="auto"/>
              <w:left w:val="nil"/>
              <w:bottom w:val="single" w:sz="8" w:space="0" w:color="auto"/>
              <w:right w:val="nil"/>
            </w:tcBorders>
            <w:shd w:val="clear" w:color="auto" w:fill="auto"/>
            <w:noWrap/>
            <w:vAlign w:val="bottom"/>
          </w:tcPr>
          <w:p w:rsidR="00185C38" w:rsidRPr="00CC1AEE" w:rsidRDefault="009C4692"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214,900</w:t>
            </w:r>
          </w:p>
        </w:tc>
      </w:tr>
    </w:tbl>
    <w:p w:rsidR="00FC6B6F" w:rsidRDefault="00FC6B6F">
      <w:pPr>
        <w:overflowPunct/>
        <w:autoSpaceDE/>
        <w:autoSpaceDN/>
        <w:adjustRightInd/>
        <w:textAlignment w:val="auto"/>
      </w:pPr>
    </w:p>
    <w:p w:rsidR="008D7758" w:rsidRDefault="008D7758" w:rsidP="008D7758">
      <w:pPr>
        <w:pStyle w:val="Heading2"/>
      </w:pPr>
      <w:r w:rsidRPr="006D5D6E">
        <w:t>A9.</w:t>
      </w:r>
      <w:r w:rsidRPr="006D5D6E">
        <w:tab/>
        <w:t>Segment Information</w:t>
      </w:r>
      <w:r>
        <w:t xml:space="preserve"> (Cont’d)</w:t>
      </w:r>
    </w:p>
    <w:p w:rsidR="008D7758" w:rsidRPr="00185C38" w:rsidRDefault="008D7758" w:rsidP="008D7758">
      <w:pPr>
        <w:pStyle w:val="BodyText2"/>
        <w:spacing w:before="90" w:line="260" w:lineRule="exact"/>
      </w:pPr>
      <w:r w:rsidRPr="006D5D6E">
        <w:t>The Group’s financial information analysed by business segment is as follows:</w:t>
      </w:r>
    </w:p>
    <w:p w:rsidR="008D7758" w:rsidRDefault="008D7758">
      <w:pPr>
        <w:overflowPunct/>
        <w:autoSpaceDE/>
        <w:autoSpaceDN/>
        <w:adjustRightInd/>
        <w:textAlignment w:val="auto"/>
      </w:pPr>
    </w:p>
    <w:p w:rsidR="008D7758" w:rsidRDefault="008D7758">
      <w:pPr>
        <w:overflowPunct/>
        <w:autoSpaceDE/>
        <w:autoSpaceDN/>
        <w:adjustRightInd/>
        <w:textAlignment w:val="auto"/>
      </w:pPr>
    </w:p>
    <w:tbl>
      <w:tblPr>
        <w:tblpPr w:leftFromText="180" w:rightFromText="180" w:vertAnchor="text" w:horzAnchor="margin" w:tblpXSpec="center" w:tblpY="-154"/>
        <w:tblOverlap w:val="never"/>
        <w:tblW w:w="10591" w:type="dxa"/>
        <w:tblLook w:val="04A0"/>
      </w:tblPr>
      <w:tblGrid>
        <w:gridCol w:w="2936"/>
        <w:gridCol w:w="1356"/>
        <w:gridCol w:w="272"/>
        <w:gridCol w:w="1356"/>
        <w:gridCol w:w="272"/>
        <w:gridCol w:w="1372"/>
        <w:gridCol w:w="272"/>
        <w:gridCol w:w="1356"/>
        <w:gridCol w:w="272"/>
        <w:gridCol w:w="1127"/>
      </w:tblGrid>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tabs>
                <w:tab w:val="left" w:pos="364"/>
              </w:tabs>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Shipping,</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Logistics</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marine</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Services</w:t>
            </w:r>
            <w:r w:rsidR="005218F4">
              <w:rPr>
                <w:rFonts w:ascii="Arial" w:hAnsi="Arial" w:cs="Arial"/>
                <w:b/>
                <w:bCs/>
                <w:lang w:val="en-MY" w:eastAsia="en-MY"/>
              </w:rPr>
              <w:t xml:space="preserve"> &amp;</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r>
      <w:tr w:rsidR="008D7758" w:rsidRPr="003E5ECF" w:rsidTr="005218F4">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Pr>
                <w:rFonts w:ascii="Arial" w:hAnsi="Arial" w:cs="Arial"/>
                <w:b/>
                <w:u w:val="single"/>
                <w:lang w:val="en-MY" w:eastAsia="en-MY"/>
              </w:rPr>
              <w:t>Financial</w:t>
            </w:r>
            <w:r w:rsidRPr="002F6F8E">
              <w:rPr>
                <w:rFonts w:ascii="Arial" w:hAnsi="Arial" w:cs="Arial"/>
                <w:b/>
                <w:u w:val="single"/>
                <w:lang w:val="en-MY" w:eastAsia="en-MY"/>
              </w:rPr>
              <w:t xml:space="preserve"> year to date</w:t>
            </w:r>
          </w:p>
        </w:tc>
        <w:tc>
          <w:tcPr>
            <w:tcW w:w="1356"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service</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 xml:space="preserve"> equipment</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72"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Engineering</w:t>
            </w: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272"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127" w:type="dxa"/>
            <w:tcBorders>
              <w:top w:val="nil"/>
              <w:left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r>
      <w:tr w:rsidR="008D7758" w:rsidRPr="003E5ECF" w:rsidTr="005218F4">
        <w:trPr>
          <w:trHeight w:val="270"/>
        </w:trPr>
        <w:tc>
          <w:tcPr>
            <w:tcW w:w="2936" w:type="dxa"/>
            <w:tcBorders>
              <w:top w:val="nil"/>
              <w:left w:val="nil"/>
              <w:bottom w:val="nil"/>
              <w:right w:val="nil"/>
            </w:tcBorders>
            <w:shd w:val="clear" w:color="auto" w:fill="auto"/>
            <w:noWrap/>
            <w:vAlign w:val="bottom"/>
            <w:hideMark/>
          </w:tcPr>
          <w:p w:rsidR="008D7758" w:rsidRPr="00FE5C22" w:rsidRDefault="008D7758" w:rsidP="008D7758">
            <w:pPr>
              <w:overflowPunct/>
              <w:autoSpaceDE/>
              <w:autoSpaceDN/>
              <w:adjustRightInd/>
              <w:textAlignment w:val="auto"/>
              <w:rPr>
                <w:rFonts w:ascii="Arial" w:hAnsi="Arial" w:cs="Arial"/>
                <w:b/>
                <w:u w:val="single"/>
                <w:lang w:val="en-MY" w:eastAsia="en-MY"/>
              </w:rPr>
            </w:pPr>
            <w:r>
              <w:rPr>
                <w:rFonts w:ascii="Arial" w:hAnsi="Arial" w:cs="Arial"/>
                <w:b/>
                <w:u w:val="single"/>
                <w:lang w:val="en-MY" w:eastAsia="en-MY"/>
              </w:rPr>
              <w:t>31</w:t>
            </w:r>
            <w:r w:rsidRPr="00FE5C22">
              <w:rPr>
                <w:rFonts w:ascii="Arial" w:hAnsi="Arial" w:cs="Arial"/>
                <w:b/>
                <w:u w:val="single"/>
                <w:vertAlign w:val="superscript"/>
                <w:lang w:val="en-MY" w:eastAsia="en-MY"/>
              </w:rPr>
              <w:t>st</w:t>
            </w:r>
            <w:r>
              <w:rPr>
                <w:rFonts w:ascii="Arial" w:hAnsi="Arial" w:cs="Arial"/>
                <w:b/>
                <w:u w:val="single"/>
                <w:lang w:val="en-MY" w:eastAsia="en-MY"/>
              </w:rPr>
              <w:t xml:space="preserve"> March 2012</w:t>
            </w:r>
          </w:p>
        </w:tc>
        <w:tc>
          <w:tcPr>
            <w:tcW w:w="1356" w:type="dxa"/>
            <w:tcBorders>
              <w:top w:val="nil"/>
              <w:left w:val="nil"/>
              <w:bottom w:val="single" w:sz="4" w:space="0" w:color="auto"/>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&amp; others</w:t>
            </w:r>
          </w:p>
        </w:tc>
        <w:tc>
          <w:tcPr>
            <w:tcW w:w="272"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single" w:sz="4" w:space="0" w:color="auto"/>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rental</w:t>
            </w:r>
          </w:p>
        </w:tc>
        <w:tc>
          <w:tcPr>
            <w:tcW w:w="272"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72" w:type="dxa"/>
            <w:tcBorders>
              <w:top w:val="nil"/>
              <w:left w:val="nil"/>
              <w:bottom w:val="single" w:sz="4" w:space="0" w:color="auto"/>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contract</w:t>
            </w:r>
          </w:p>
        </w:tc>
        <w:tc>
          <w:tcPr>
            <w:tcW w:w="272"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356" w:type="dxa"/>
            <w:tcBorders>
              <w:top w:val="nil"/>
              <w:left w:val="nil"/>
              <w:bottom w:val="single" w:sz="4" w:space="0" w:color="auto"/>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Elimination</w:t>
            </w:r>
          </w:p>
        </w:tc>
        <w:tc>
          <w:tcPr>
            <w:tcW w:w="272" w:type="dxa"/>
            <w:tcBorders>
              <w:top w:val="nil"/>
              <w:left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single" w:sz="4" w:space="0" w:color="auto"/>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r w:rsidRPr="003E5ECF">
              <w:rPr>
                <w:rFonts w:ascii="Arial" w:hAnsi="Arial" w:cs="Arial"/>
                <w:b/>
                <w:bCs/>
                <w:lang w:val="en-MY" w:eastAsia="en-MY"/>
              </w:rPr>
              <w:t>Total</w:t>
            </w:r>
          </w:p>
        </w:tc>
      </w:tr>
      <w:tr w:rsidR="005218F4" w:rsidRPr="003E5ECF" w:rsidTr="005218F4">
        <w:trPr>
          <w:trHeight w:val="270"/>
        </w:trPr>
        <w:tc>
          <w:tcPr>
            <w:tcW w:w="2936" w:type="dxa"/>
            <w:tcBorders>
              <w:top w:val="nil"/>
              <w:left w:val="nil"/>
              <w:bottom w:val="nil"/>
              <w:right w:val="nil"/>
            </w:tcBorders>
            <w:shd w:val="clear" w:color="auto" w:fill="auto"/>
            <w:noWrap/>
            <w:vAlign w:val="bottom"/>
            <w:hideMark/>
          </w:tcPr>
          <w:p w:rsidR="005218F4" w:rsidRDefault="005218F4" w:rsidP="008D7758">
            <w:pPr>
              <w:overflowPunct/>
              <w:autoSpaceDE/>
              <w:autoSpaceDN/>
              <w:adjustRightInd/>
              <w:textAlignment w:val="auto"/>
              <w:rPr>
                <w:rFonts w:ascii="Arial" w:hAnsi="Arial" w:cs="Arial"/>
                <w:b/>
                <w:u w:val="single"/>
                <w:lang w:val="en-MY" w:eastAsia="en-MY"/>
              </w:rPr>
            </w:pPr>
          </w:p>
        </w:tc>
        <w:tc>
          <w:tcPr>
            <w:tcW w:w="1356" w:type="dxa"/>
            <w:tcBorders>
              <w:top w:val="single" w:sz="4" w:space="0" w:color="auto"/>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2" w:type="dxa"/>
            <w:tcBorders>
              <w:top w:val="nil"/>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p>
        </w:tc>
        <w:tc>
          <w:tcPr>
            <w:tcW w:w="1356" w:type="dxa"/>
            <w:tcBorders>
              <w:top w:val="single" w:sz="4" w:space="0" w:color="auto"/>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2" w:type="dxa"/>
            <w:tcBorders>
              <w:top w:val="nil"/>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p>
        </w:tc>
        <w:tc>
          <w:tcPr>
            <w:tcW w:w="1372" w:type="dxa"/>
            <w:tcBorders>
              <w:top w:val="single" w:sz="4" w:space="0" w:color="auto"/>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2" w:type="dxa"/>
            <w:tcBorders>
              <w:top w:val="nil"/>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p>
        </w:tc>
        <w:tc>
          <w:tcPr>
            <w:tcW w:w="1356" w:type="dxa"/>
            <w:tcBorders>
              <w:top w:val="single" w:sz="4" w:space="0" w:color="auto"/>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2" w:type="dxa"/>
            <w:tcBorders>
              <w:top w:val="nil"/>
              <w:left w:val="nil"/>
              <w:right w:val="nil"/>
            </w:tcBorders>
            <w:shd w:val="clear" w:color="auto" w:fill="auto"/>
            <w:noWrap/>
            <w:vAlign w:val="bottom"/>
            <w:hideMark/>
          </w:tcPr>
          <w:p w:rsidR="005218F4" w:rsidRPr="003E5ECF" w:rsidRDefault="005218F4" w:rsidP="008D7758">
            <w:pPr>
              <w:overflowPunct/>
              <w:autoSpaceDE/>
              <w:autoSpaceDN/>
              <w:adjustRightInd/>
              <w:jc w:val="right"/>
              <w:textAlignment w:val="auto"/>
              <w:rPr>
                <w:rFonts w:ascii="Arial" w:hAnsi="Arial" w:cs="Arial"/>
                <w:b/>
                <w:bCs/>
                <w:lang w:val="en-MY" w:eastAsia="en-MY"/>
              </w:rPr>
            </w:pPr>
          </w:p>
        </w:tc>
        <w:tc>
          <w:tcPr>
            <w:tcW w:w="1127" w:type="dxa"/>
            <w:tcBorders>
              <w:top w:val="single" w:sz="4" w:space="0" w:color="auto"/>
              <w:left w:val="nil"/>
              <w:right w:val="nil"/>
            </w:tcBorders>
            <w:shd w:val="clear" w:color="auto" w:fill="auto"/>
            <w:noWrap/>
            <w:vAlign w:val="bottom"/>
            <w:hideMark/>
          </w:tcPr>
          <w:p w:rsidR="005218F4" w:rsidRPr="003E5ECF" w:rsidRDefault="005218F4" w:rsidP="007B04F4">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r>
      <w:tr w:rsidR="008D7758" w:rsidRPr="003E5ECF" w:rsidTr="005218F4">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REVENUE</w:t>
            </w:r>
          </w:p>
        </w:tc>
        <w:tc>
          <w:tcPr>
            <w:tcW w:w="1356"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272"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1356"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272"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1372"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272"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1356"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272" w:type="dxa"/>
            <w:tcBorders>
              <w:left w:val="nil"/>
              <w:bottom w:val="nil"/>
              <w:right w:val="nil"/>
            </w:tcBorders>
            <w:shd w:val="clear" w:color="auto" w:fill="auto"/>
            <w:noWrap/>
            <w:vAlign w:val="bottom"/>
            <w:hideMark/>
          </w:tcPr>
          <w:p w:rsidR="008D7758" w:rsidRPr="003E5ECF" w:rsidRDefault="008D7758" w:rsidP="005218F4">
            <w:pPr>
              <w:overflowPunct/>
              <w:autoSpaceDE/>
              <w:autoSpaceDN/>
              <w:adjustRightInd/>
              <w:jc w:val="right"/>
              <w:textAlignment w:val="auto"/>
              <w:rPr>
                <w:rFonts w:ascii="Arial" w:hAnsi="Arial" w:cs="Arial"/>
                <w:b/>
                <w:bCs/>
                <w:lang w:val="en-MY" w:eastAsia="en-MY"/>
              </w:rPr>
            </w:pPr>
          </w:p>
        </w:tc>
        <w:tc>
          <w:tcPr>
            <w:tcW w:w="1127" w:type="dxa"/>
            <w:tcBorders>
              <w:left w:val="nil"/>
              <w:bottom w:val="nil"/>
              <w:right w:val="nil"/>
            </w:tcBorders>
            <w:shd w:val="clear" w:color="auto" w:fill="auto"/>
            <w:noWrap/>
            <w:vAlign w:val="bottom"/>
            <w:hideMark/>
          </w:tcPr>
          <w:p w:rsidR="008D7758" w:rsidRPr="003E5ECF" w:rsidRDefault="008D7758" w:rsidP="007B04F4">
            <w:pPr>
              <w:overflowPunct/>
              <w:autoSpaceDE/>
              <w:autoSpaceDN/>
              <w:adjustRightInd/>
              <w:ind w:right="27"/>
              <w:jc w:val="right"/>
              <w:textAlignment w:val="auto"/>
              <w:rPr>
                <w:rFonts w:ascii="Arial" w:hAnsi="Arial" w:cs="Arial"/>
                <w:b/>
                <w:bCs/>
                <w:lang w:val="en-MY" w:eastAsia="en-MY"/>
              </w:rPr>
            </w:pP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Revenue from external sales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176,893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102,688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002067">
            <w:pPr>
              <w:jc w:val="right"/>
              <w:rPr>
                <w:rFonts w:ascii="Arial" w:hAnsi="Arial" w:cs="Arial"/>
              </w:rPr>
            </w:pPr>
            <w:r>
              <w:rPr>
                <w:rFonts w:ascii="Arial" w:hAnsi="Arial" w:cs="Arial"/>
              </w:rPr>
              <w:t xml:space="preserve">         64,42</w:t>
            </w:r>
            <w:r w:rsidR="00002067">
              <w:rPr>
                <w:rFonts w:ascii="Arial" w:hAnsi="Arial" w:cs="Arial"/>
              </w:rPr>
              <w:t>8</w:t>
            </w:r>
            <w:r>
              <w:rPr>
                <w:rFonts w:ascii="Arial" w:hAnsi="Arial" w:cs="Arial"/>
              </w:rPr>
              <w:t xml:space="preserve">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344,009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Inter-segment sales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31,213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12,497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(43,710)</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w:t>
            </w:r>
          </w:p>
        </w:tc>
      </w:tr>
      <w:tr w:rsidR="008D7758" w:rsidRPr="003E5ECF" w:rsidTr="008D7758">
        <w:trPr>
          <w:trHeight w:val="270"/>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jc w:val="right"/>
              <w:textAlignment w:val="auto"/>
              <w:rPr>
                <w:rFonts w:ascii="Arial" w:hAnsi="Arial" w:cs="Arial"/>
                <w:lang w:val="en-MY" w:eastAsia="en-MY"/>
              </w:rPr>
            </w:pPr>
          </w:p>
        </w:tc>
        <w:tc>
          <w:tcPr>
            <w:tcW w:w="1356" w:type="dxa"/>
            <w:tcBorders>
              <w:top w:val="single" w:sz="4" w:space="0" w:color="auto"/>
              <w:left w:val="nil"/>
              <w:bottom w:val="double" w:sz="6"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208,106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double" w:sz="6"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115,185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single" w:sz="4" w:space="0" w:color="auto"/>
              <w:left w:val="nil"/>
              <w:bottom w:val="double" w:sz="6" w:space="0" w:color="auto"/>
              <w:right w:val="nil"/>
            </w:tcBorders>
            <w:shd w:val="clear" w:color="auto" w:fill="auto"/>
            <w:noWrap/>
            <w:vAlign w:val="bottom"/>
            <w:hideMark/>
          </w:tcPr>
          <w:p w:rsidR="008D7758" w:rsidRDefault="00002067" w:rsidP="008D7758">
            <w:pPr>
              <w:jc w:val="right"/>
              <w:rPr>
                <w:rFonts w:ascii="Arial" w:hAnsi="Arial" w:cs="Arial"/>
              </w:rPr>
            </w:pPr>
            <w:r>
              <w:rPr>
                <w:rFonts w:ascii="Arial" w:hAnsi="Arial" w:cs="Arial"/>
              </w:rPr>
              <w:t xml:space="preserve">         64,428</w:t>
            </w:r>
            <w:r w:rsidR="008D7758">
              <w:rPr>
                <w:rFonts w:ascii="Arial" w:hAnsi="Arial" w:cs="Arial"/>
              </w:rPr>
              <w:t xml:space="preserve">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double" w:sz="6"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(43,710)</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single" w:sz="4" w:space="0" w:color="auto"/>
              <w:left w:val="nil"/>
              <w:bottom w:val="double" w:sz="6" w:space="0" w:color="auto"/>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344,009 </w:t>
            </w:r>
          </w:p>
        </w:tc>
      </w:tr>
      <w:tr w:rsidR="008D7758" w:rsidRPr="003E5ECF" w:rsidTr="008D7758">
        <w:trPr>
          <w:trHeight w:val="270"/>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rPr>
                <w:rFonts w:ascii="Arial" w:hAnsi="Arial" w:cs="Arial"/>
              </w:rPr>
            </w:pPr>
            <w:r>
              <w:rPr>
                <w:rFonts w:ascii="Arial" w:hAnsi="Arial" w:cs="Arial"/>
              </w:rPr>
              <w:t>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RESULTS</w:t>
            </w: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rPr>
                <w:rFonts w:ascii="Arial" w:hAnsi="Arial" w:cs="Arial"/>
              </w:rPr>
            </w:pPr>
            <w:r>
              <w:rPr>
                <w:rFonts w:ascii="Arial" w:hAnsi="Arial" w:cs="Arial"/>
              </w:rPr>
              <w:t>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Profit before taxation</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8,892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15,060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1,103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806</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25,862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Profit before taxation</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ind w:firstLineChars="100" w:firstLine="200"/>
              <w:textAlignment w:val="auto"/>
              <w:rPr>
                <w:rFonts w:ascii="Arial" w:hAnsi="Arial" w:cs="Arial"/>
                <w:lang w:val="en-MY" w:eastAsia="en-MY"/>
              </w:rPr>
            </w:pPr>
            <w:r w:rsidRPr="003E5ECF">
              <w:rPr>
                <w:rFonts w:ascii="Arial" w:hAnsi="Arial" w:cs="Arial"/>
                <w:lang w:val="en-MY" w:eastAsia="en-MY"/>
              </w:rPr>
              <w:t>includes: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Amortisation</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171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186 </w:t>
            </w:r>
          </w:p>
        </w:tc>
      </w:tr>
      <w:tr w:rsidR="008D7758" w:rsidRPr="003E5ECF" w:rsidTr="008D7758">
        <w:trPr>
          <w:trHeight w:val="51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Fair value adjustment to investment properties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51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109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14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173 </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Depreciation</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4,550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6,329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895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11,774 </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Finance Cost</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2,527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2,494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19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(369)</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4,670 </w:t>
            </w:r>
          </w:p>
        </w:tc>
      </w:tr>
      <w:tr w:rsidR="008D7758" w:rsidRPr="003E5ECF" w:rsidTr="008D7758">
        <w:trPr>
          <w:trHeight w:val="51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Reversal of Impairment of trade receivables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(537)</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(2,719)</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(0)</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(3,257)</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Impairment of trade receivables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418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1,913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     2,331 </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Bad debt recovered</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5218F4">
            <w:pPr>
              <w:jc w:val="right"/>
              <w:rPr>
                <w:rFonts w:ascii="Arial" w:hAnsi="Arial" w:cs="Arial"/>
              </w:rPr>
            </w:pPr>
            <w:r>
              <w:rPr>
                <w:rFonts w:ascii="Arial" w:hAnsi="Arial" w:cs="Arial"/>
              </w:rPr>
              <w:t>(60)</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(60)</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Bad debt written off</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282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600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 xml:space="preserve">882 </w:t>
            </w:r>
          </w:p>
        </w:tc>
      </w:tr>
      <w:tr w:rsidR="008D7758" w:rsidRPr="003E5ECF" w:rsidTr="008D7758">
        <w:trPr>
          <w:trHeight w:val="78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Share of profits in jointly controlled entities and associates</w:t>
            </w:r>
          </w:p>
        </w:tc>
        <w:tc>
          <w:tcPr>
            <w:tcW w:w="1356"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(778)</w:t>
            </w:r>
          </w:p>
        </w:tc>
        <w:tc>
          <w:tcPr>
            <w:tcW w:w="272"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(54)</w:t>
            </w:r>
          </w:p>
        </w:tc>
        <w:tc>
          <w:tcPr>
            <w:tcW w:w="272"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single" w:sz="8" w:space="0" w:color="auto"/>
              <w:right w:val="nil"/>
            </w:tcBorders>
            <w:shd w:val="clear" w:color="auto" w:fill="auto"/>
            <w:noWrap/>
            <w:vAlign w:val="bottom"/>
            <w:hideMark/>
          </w:tcPr>
          <w:p w:rsidR="008D7758" w:rsidRDefault="008D7758" w:rsidP="008D7758">
            <w:pPr>
              <w:ind w:right="91"/>
              <w:jc w:val="right"/>
              <w:rPr>
                <w:rFonts w:ascii="Arial" w:hAnsi="Arial" w:cs="Arial"/>
              </w:rPr>
            </w:pPr>
            <w:r>
              <w:rPr>
                <w:rFonts w:ascii="Arial" w:hAnsi="Arial" w:cs="Arial"/>
              </w:rPr>
              <w:t>(832)</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SEGMENT ASSETS</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240,038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199,778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56,278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496,094 </w:t>
            </w: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color w:val="000000"/>
                <w:lang w:val="en-MY" w:eastAsia="en-MY"/>
              </w:rPr>
            </w:pPr>
            <w:r w:rsidRPr="003E5ECF">
              <w:rPr>
                <w:rFonts w:ascii="Arial" w:hAnsi="Arial" w:cs="Arial"/>
                <w:color w:val="000000"/>
                <w:lang w:val="en-MY" w:eastAsia="en-MY"/>
              </w:rPr>
              <w:t>Deferred tax assets</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517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338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vAlign w:val="bottom"/>
            <w:hideMark/>
          </w:tcPr>
          <w:p w:rsidR="008D7758" w:rsidRDefault="008D7758" w:rsidP="008D7758">
            <w:pPr>
              <w:ind w:right="91"/>
              <w:jc w:val="right"/>
              <w:rPr>
                <w:rFonts w:ascii="Arial" w:hAnsi="Arial" w:cs="Arial"/>
              </w:rPr>
            </w:pPr>
            <w:r>
              <w:rPr>
                <w:rFonts w:ascii="Arial" w:hAnsi="Arial" w:cs="Arial"/>
              </w:rPr>
              <w:t xml:space="preserve">    855 </w:t>
            </w:r>
          </w:p>
        </w:tc>
      </w:tr>
      <w:tr w:rsidR="008D7758" w:rsidRPr="003E5ECF" w:rsidTr="008D7758">
        <w:trPr>
          <w:trHeight w:val="27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TOTAL ASSETS</w:t>
            </w:r>
          </w:p>
        </w:tc>
        <w:tc>
          <w:tcPr>
            <w:tcW w:w="1356" w:type="dxa"/>
            <w:tcBorders>
              <w:top w:val="single" w:sz="4" w:space="0" w:color="auto"/>
              <w:left w:val="nil"/>
              <w:bottom w:val="single" w:sz="8" w:space="0" w:color="auto"/>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240,555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single" w:sz="8" w:space="0" w:color="auto"/>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200,116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single" w:sz="4" w:space="0" w:color="auto"/>
              <w:left w:val="nil"/>
              <w:bottom w:val="single" w:sz="8" w:space="0" w:color="auto"/>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56,278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single" w:sz="8" w:space="0" w:color="auto"/>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   </w:t>
            </w:r>
          </w:p>
        </w:tc>
        <w:tc>
          <w:tcPr>
            <w:tcW w:w="272" w:type="dxa"/>
            <w:tcBorders>
              <w:top w:val="nil"/>
              <w:left w:val="nil"/>
              <w:bottom w:val="nil"/>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single" w:sz="4" w:space="0" w:color="auto"/>
              <w:left w:val="nil"/>
              <w:bottom w:val="single" w:sz="8" w:space="0" w:color="auto"/>
              <w:right w:val="nil"/>
            </w:tcBorders>
            <w:shd w:val="clear" w:color="auto" w:fill="auto"/>
            <w:vAlign w:val="bottom"/>
            <w:hideMark/>
          </w:tcPr>
          <w:p w:rsidR="008D7758" w:rsidRDefault="008D7758" w:rsidP="008D7758">
            <w:pPr>
              <w:jc w:val="right"/>
              <w:rPr>
                <w:rFonts w:ascii="Arial" w:hAnsi="Arial" w:cs="Arial"/>
              </w:rPr>
            </w:pPr>
            <w:r>
              <w:rPr>
                <w:rFonts w:ascii="Arial" w:hAnsi="Arial" w:cs="Arial"/>
              </w:rPr>
              <w:t xml:space="preserve"> 496,949 </w:t>
            </w:r>
          </w:p>
        </w:tc>
      </w:tr>
      <w:tr w:rsidR="008D7758" w:rsidRPr="003E5ECF" w:rsidTr="008D7758">
        <w:trPr>
          <w:trHeight w:val="52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 xml:space="preserve">Included in measure of segment assets are : </w:t>
            </w:r>
          </w:p>
        </w:tc>
        <w:tc>
          <w:tcPr>
            <w:tcW w:w="1356"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272"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1356"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272"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1372"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272"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1356"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272"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c>
          <w:tcPr>
            <w:tcW w:w="1127" w:type="dxa"/>
            <w:tcBorders>
              <w:top w:val="nil"/>
              <w:left w:val="nil"/>
              <w:bottom w:val="nil"/>
              <w:right w:val="nil"/>
            </w:tcBorders>
            <w:shd w:val="clear" w:color="auto" w:fill="auto"/>
            <w:vAlign w:val="bottom"/>
            <w:hideMark/>
          </w:tcPr>
          <w:p w:rsidR="008D7758" w:rsidRDefault="008D7758" w:rsidP="008D7758">
            <w:pPr>
              <w:rPr>
                <w:rFonts w:ascii="Arial" w:hAnsi="Arial" w:cs="Arial"/>
              </w:rPr>
            </w:pP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Investment in associates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2,344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243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2,588 </w:t>
            </w:r>
          </w:p>
        </w:tc>
      </w:tr>
      <w:tr w:rsidR="008D7758" w:rsidRPr="003E5ECF" w:rsidTr="008D7758">
        <w:trPr>
          <w:trHeight w:val="51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Investment in jointly controlled entities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2,615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2,615 </w:t>
            </w:r>
          </w:p>
        </w:tc>
      </w:tr>
      <w:tr w:rsidR="008D7758" w:rsidRPr="003E5ECF" w:rsidTr="008D7758">
        <w:trPr>
          <w:trHeight w:val="510"/>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Additional to property, plant and equipment</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6,518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15,882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934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23,334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p>
        </w:tc>
      </w:tr>
      <w:tr w:rsidR="008D7758" w:rsidRPr="003E5ECF" w:rsidTr="008D7758">
        <w:trPr>
          <w:trHeight w:val="255"/>
        </w:trPr>
        <w:tc>
          <w:tcPr>
            <w:tcW w:w="2936" w:type="dxa"/>
            <w:tcBorders>
              <w:top w:val="nil"/>
              <w:left w:val="nil"/>
              <w:bottom w:val="nil"/>
              <w:right w:val="nil"/>
            </w:tcBorders>
            <w:shd w:val="clear" w:color="auto" w:fill="auto"/>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SEGMENT LIABILITIES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77,609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126,437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12,332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216,378 </w:t>
            </w:r>
          </w:p>
        </w:tc>
      </w:tr>
      <w:tr w:rsidR="008D7758" w:rsidRPr="003E5ECF" w:rsidTr="008D7758">
        <w:trPr>
          <w:trHeight w:val="255"/>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lang w:val="en-MY" w:eastAsia="en-MY"/>
              </w:rPr>
            </w:pPr>
            <w:r w:rsidRPr="003E5ECF">
              <w:rPr>
                <w:rFonts w:ascii="Arial" w:hAnsi="Arial" w:cs="Arial"/>
                <w:lang w:val="en-MY" w:eastAsia="en-MY"/>
              </w:rPr>
              <w:t>Deferred tax liabilities</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2,255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6,991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625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9,870 </w:t>
            </w:r>
          </w:p>
        </w:tc>
      </w:tr>
      <w:tr w:rsidR="008D7758" w:rsidRPr="003E5ECF" w:rsidTr="008D7758">
        <w:trPr>
          <w:trHeight w:val="270"/>
        </w:trPr>
        <w:tc>
          <w:tcPr>
            <w:tcW w:w="2936" w:type="dxa"/>
            <w:tcBorders>
              <w:top w:val="nil"/>
              <w:left w:val="nil"/>
              <w:bottom w:val="nil"/>
              <w:right w:val="nil"/>
            </w:tcBorders>
            <w:shd w:val="clear" w:color="auto" w:fill="auto"/>
            <w:noWrap/>
            <w:vAlign w:val="bottom"/>
            <w:hideMark/>
          </w:tcPr>
          <w:p w:rsidR="008D7758" w:rsidRPr="003E5ECF" w:rsidRDefault="008D7758" w:rsidP="008D7758">
            <w:pPr>
              <w:overflowPunct/>
              <w:autoSpaceDE/>
              <w:autoSpaceDN/>
              <w:adjustRightInd/>
              <w:textAlignment w:val="auto"/>
              <w:rPr>
                <w:rFonts w:ascii="Arial" w:hAnsi="Arial" w:cs="Arial"/>
                <w:b/>
                <w:bCs/>
                <w:lang w:val="en-MY" w:eastAsia="en-MY"/>
              </w:rPr>
            </w:pPr>
            <w:r w:rsidRPr="003E5ECF">
              <w:rPr>
                <w:rFonts w:ascii="Arial" w:hAnsi="Arial" w:cs="Arial"/>
                <w:b/>
                <w:bCs/>
                <w:lang w:val="en-MY" w:eastAsia="en-MY"/>
              </w:rPr>
              <w:t>TOTAL LIABILITIES</w:t>
            </w:r>
          </w:p>
        </w:tc>
        <w:tc>
          <w:tcPr>
            <w:tcW w:w="1356" w:type="dxa"/>
            <w:tcBorders>
              <w:top w:val="single" w:sz="4" w:space="0" w:color="auto"/>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79,864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133,428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72" w:type="dxa"/>
            <w:tcBorders>
              <w:top w:val="single" w:sz="4" w:space="0" w:color="auto"/>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12,956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356" w:type="dxa"/>
            <w:tcBorders>
              <w:top w:val="single" w:sz="4" w:space="0" w:color="auto"/>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   </w:t>
            </w:r>
          </w:p>
        </w:tc>
        <w:tc>
          <w:tcPr>
            <w:tcW w:w="272" w:type="dxa"/>
            <w:tcBorders>
              <w:top w:val="nil"/>
              <w:left w:val="nil"/>
              <w:bottom w:val="nil"/>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w:t>
            </w:r>
          </w:p>
        </w:tc>
        <w:tc>
          <w:tcPr>
            <w:tcW w:w="1127" w:type="dxa"/>
            <w:tcBorders>
              <w:top w:val="single" w:sz="4" w:space="0" w:color="auto"/>
              <w:left w:val="nil"/>
              <w:bottom w:val="single" w:sz="8" w:space="0" w:color="auto"/>
              <w:right w:val="nil"/>
            </w:tcBorders>
            <w:shd w:val="clear" w:color="auto" w:fill="auto"/>
            <w:noWrap/>
            <w:vAlign w:val="bottom"/>
            <w:hideMark/>
          </w:tcPr>
          <w:p w:rsidR="008D7758" w:rsidRDefault="008D7758" w:rsidP="008D7758">
            <w:pPr>
              <w:jc w:val="right"/>
              <w:rPr>
                <w:rFonts w:ascii="Arial" w:hAnsi="Arial" w:cs="Arial"/>
              </w:rPr>
            </w:pPr>
            <w:r>
              <w:rPr>
                <w:rFonts w:ascii="Arial" w:hAnsi="Arial" w:cs="Arial"/>
              </w:rPr>
              <w:t xml:space="preserve">       226,248 </w:t>
            </w:r>
          </w:p>
        </w:tc>
      </w:tr>
    </w:tbl>
    <w:tbl>
      <w:tblPr>
        <w:tblW w:w="18682" w:type="dxa"/>
        <w:tblInd w:w="108" w:type="dxa"/>
        <w:tblLook w:val="04A0"/>
      </w:tblPr>
      <w:tblGrid>
        <w:gridCol w:w="18682"/>
      </w:tblGrid>
      <w:tr w:rsidR="008D7758" w:rsidRPr="00196339" w:rsidTr="008D7758">
        <w:trPr>
          <w:trHeight w:val="255"/>
        </w:trPr>
        <w:tc>
          <w:tcPr>
            <w:tcW w:w="18682" w:type="dxa"/>
            <w:tcBorders>
              <w:top w:val="nil"/>
              <w:left w:val="nil"/>
              <w:bottom w:val="nil"/>
              <w:right w:val="nil"/>
            </w:tcBorders>
            <w:shd w:val="clear" w:color="auto" w:fill="auto"/>
            <w:noWrap/>
            <w:vAlign w:val="bottom"/>
            <w:hideMark/>
          </w:tcPr>
          <w:p w:rsidR="008D7758" w:rsidRPr="00196339" w:rsidRDefault="008D7758" w:rsidP="008D7758">
            <w:pPr>
              <w:overflowPunct/>
              <w:autoSpaceDE/>
              <w:autoSpaceDN/>
              <w:adjustRightInd/>
              <w:textAlignment w:val="auto"/>
              <w:rPr>
                <w:rFonts w:ascii="Arial" w:hAnsi="Arial" w:cs="Arial"/>
                <w:lang w:val="en-MY" w:eastAsia="en-MY"/>
              </w:rPr>
            </w:pPr>
          </w:p>
        </w:tc>
      </w:tr>
    </w:tbl>
    <w:p w:rsidR="008D7758" w:rsidRPr="0011420D" w:rsidRDefault="008D7758" w:rsidP="008D7758"/>
    <w:p w:rsidR="00E24968" w:rsidRDefault="00A22396" w:rsidP="009C488D">
      <w:pPr>
        <w:pStyle w:val="Heading2"/>
      </w:pPr>
      <w:r>
        <w:t>A10</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D46089">
        <w:rPr>
          <w:rFonts w:ascii="Times New Roman" w:hAnsi="Times New Roman"/>
          <w:sz w:val="24"/>
          <w:szCs w:val="24"/>
        </w:rPr>
        <w:t>2</w:t>
      </w:r>
      <w:r w:rsidRPr="00D46089">
        <w:rPr>
          <w:rFonts w:ascii="Times New Roman" w:hAnsi="Times New Roman"/>
          <w:sz w:val="24"/>
          <w:szCs w:val="24"/>
        </w:rPr>
        <w:t>.</w:t>
      </w:r>
    </w:p>
    <w:p w:rsidR="00E24968" w:rsidRDefault="00E24968" w:rsidP="009C488D">
      <w:pPr>
        <w:pStyle w:val="Heading2"/>
      </w:pPr>
      <w:r>
        <w:t>A1</w:t>
      </w:r>
      <w:r w:rsidR="00A22396">
        <w:t>1</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8D7758">
        <w:t>15</w:t>
      </w:r>
      <w:r w:rsidR="008A2702">
        <w:t xml:space="preserve"> </w:t>
      </w:r>
      <w:r w:rsidR="008D7758">
        <w:t>May</w:t>
      </w:r>
      <w:r w:rsidR="008A2702">
        <w:t xml:space="preserve"> 201</w:t>
      </w:r>
      <w:r w:rsidR="0011420D">
        <w:t>3</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232091">
        <w:t>period</w:t>
      </w:r>
      <w:r>
        <w:t xml:space="preserve"> under review.</w:t>
      </w:r>
    </w:p>
    <w:p w:rsidR="00E24968" w:rsidRDefault="00E24968">
      <w:pPr>
        <w:pStyle w:val="Heading2"/>
      </w:pPr>
      <w:r>
        <w:t>A1</w:t>
      </w:r>
      <w:r w:rsidR="00A22396">
        <w:t>2</w:t>
      </w:r>
      <w:r>
        <w:t>.</w:t>
      </w:r>
      <w:r>
        <w:tab/>
        <w:t>Changes in Composition of the Group</w:t>
      </w:r>
    </w:p>
    <w:p w:rsidR="00174806" w:rsidRDefault="00174806" w:rsidP="00174806">
      <w:pPr>
        <w:pStyle w:val="BodyTextIndent2"/>
        <w:jc w:val="both"/>
        <w:rPr>
          <w:szCs w:val="24"/>
        </w:rPr>
      </w:pPr>
      <w:r w:rsidRPr="00D4030F">
        <w:rPr>
          <w:szCs w:val="24"/>
        </w:rPr>
        <w:t xml:space="preserve">Save for the below, there were no changes in composition of the Group during the current </w:t>
      </w:r>
      <w:r>
        <w:rPr>
          <w:szCs w:val="24"/>
        </w:rPr>
        <w:t xml:space="preserve">period ended 31 </w:t>
      </w:r>
      <w:r w:rsidR="008D7758">
        <w:rPr>
          <w:szCs w:val="24"/>
        </w:rPr>
        <w:t>March 2013</w:t>
      </w:r>
      <w:r w:rsidR="00612808">
        <w:rPr>
          <w:szCs w:val="24"/>
        </w:rPr>
        <w:t>,</w:t>
      </w:r>
    </w:p>
    <w:p w:rsidR="00174806" w:rsidRDefault="00174806" w:rsidP="00D46089">
      <w:pPr>
        <w:ind w:left="709"/>
        <w:rPr>
          <w:sz w:val="24"/>
          <w:szCs w:val="24"/>
        </w:rPr>
      </w:pPr>
    </w:p>
    <w:p w:rsidR="00174806" w:rsidRDefault="00174806" w:rsidP="0023431A">
      <w:pPr>
        <w:numPr>
          <w:ilvl w:val="0"/>
          <w:numId w:val="20"/>
        </w:numPr>
        <w:ind w:left="1418" w:hanging="709"/>
        <w:jc w:val="both"/>
        <w:rPr>
          <w:sz w:val="24"/>
          <w:szCs w:val="24"/>
        </w:rPr>
      </w:pPr>
      <w:r w:rsidRPr="00174806">
        <w:rPr>
          <w:sz w:val="24"/>
          <w:szCs w:val="24"/>
        </w:rPr>
        <w:t>On 27</w:t>
      </w:r>
      <w:r w:rsidRPr="00174806">
        <w:rPr>
          <w:sz w:val="24"/>
          <w:szCs w:val="24"/>
          <w:vertAlign w:val="superscript"/>
        </w:rPr>
        <w:t>th</w:t>
      </w:r>
      <w:r w:rsidRPr="00174806">
        <w:rPr>
          <w:sz w:val="24"/>
          <w:szCs w:val="24"/>
        </w:rPr>
        <w:t xml:space="preserve"> November 2012, Harbour-Link Logistics Sdn . Bhd. (“HLL”), a wholly-owned sub-subsidiary of of Harbour-Link Group Berhad (“Harbour-Link”) had acquired the remaining two hundred and fifty five thousand (255,000) ordinary shares of RM1.00 each (“Shares”), representing fifty one percent  (51.0%) of the issued and paid up share capital of Siong Jaya Sdn. Bhd. (“SJSB”) </w:t>
      </w:r>
      <w:r>
        <w:rPr>
          <w:sz w:val="24"/>
          <w:szCs w:val="24"/>
        </w:rPr>
        <w:t>fr</w:t>
      </w:r>
      <w:r w:rsidR="00B02748">
        <w:rPr>
          <w:sz w:val="24"/>
          <w:szCs w:val="24"/>
        </w:rPr>
        <w:t>om</w:t>
      </w:r>
      <w:r>
        <w:rPr>
          <w:sz w:val="24"/>
          <w:szCs w:val="24"/>
        </w:rPr>
        <w:t xml:space="preserve"> Hussein Bin Rajuli for a total consideration of RM255,000.00.</w:t>
      </w:r>
    </w:p>
    <w:p w:rsidR="008D7758" w:rsidRPr="00174806" w:rsidRDefault="008D7758" w:rsidP="0023431A">
      <w:pPr>
        <w:ind w:left="1418" w:hanging="709"/>
        <w:jc w:val="both"/>
        <w:rPr>
          <w:sz w:val="24"/>
          <w:szCs w:val="24"/>
        </w:rPr>
      </w:pPr>
    </w:p>
    <w:p w:rsidR="00174806" w:rsidRPr="008D7758" w:rsidRDefault="0023431A" w:rsidP="0023431A">
      <w:pPr>
        <w:pStyle w:val="ListParagraph"/>
        <w:numPr>
          <w:ilvl w:val="0"/>
          <w:numId w:val="20"/>
        </w:numPr>
        <w:tabs>
          <w:tab w:val="clear" w:pos="1440"/>
        </w:tabs>
        <w:ind w:left="1418" w:hanging="709"/>
        <w:jc w:val="both"/>
        <w:rPr>
          <w:sz w:val="24"/>
          <w:szCs w:val="24"/>
        </w:rPr>
      </w:pPr>
      <w:r>
        <w:rPr>
          <w:sz w:val="24"/>
          <w:szCs w:val="24"/>
        </w:rPr>
        <w:t>O</w:t>
      </w:r>
      <w:r w:rsidRPr="0023431A">
        <w:rPr>
          <w:sz w:val="24"/>
          <w:szCs w:val="24"/>
        </w:rPr>
        <w:t xml:space="preserve">n </w:t>
      </w:r>
      <w:r>
        <w:rPr>
          <w:sz w:val="24"/>
          <w:szCs w:val="24"/>
        </w:rPr>
        <w:t xml:space="preserve">the </w:t>
      </w:r>
      <w:r w:rsidRPr="0023431A">
        <w:rPr>
          <w:sz w:val="24"/>
          <w:szCs w:val="24"/>
        </w:rPr>
        <w:t>2nd January 2013</w:t>
      </w:r>
      <w:r>
        <w:rPr>
          <w:sz w:val="24"/>
          <w:szCs w:val="24"/>
        </w:rPr>
        <w:t xml:space="preserve">, </w:t>
      </w:r>
      <w:r w:rsidRPr="0023431A">
        <w:rPr>
          <w:sz w:val="24"/>
          <w:szCs w:val="24"/>
        </w:rPr>
        <w:t>Harbour-Link (M) Sdn. Bhd. (“HLM”), a wholly—owned subsidiary of Harbour-Link</w:t>
      </w:r>
      <w:r>
        <w:rPr>
          <w:sz w:val="24"/>
          <w:szCs w:val="24"/>
        </w:rPr>
        <w:t xml:space="preserve"> Group Berhad had</w:t>
      </w:r>
      <w:r w:rsidRPr="0023431A">
        <w:rPr>
          <w:sz w:val="24"/>
          <w:szCs w:val="24"/>
        </w:rPr>
        <w:t xml:space="preserve"> acquired two hundred and forty five thousand (245,000) ordinary shares of RM1.00 each (“Shares”), representing forty nine percent (49.0%) of the issued and paid-up share capital of Harbour Services Sdn. Bhd. (“HSSB”) from Awang Haji Alias for a total cash consideration of RM</w:t>
      </w:r>
      <w:r>
        <w:rPr>
          <w:sz w:val="24"/>
          <w:szCs w:val="24"/>
        </w:rPr>
        <w:t>367,500.00 (“the Acquisition”).</w:t>
      </w:r>
    </w:p>
    <w:p w:rsidR="00E24968" w:rsidRDefault="00E24968">
      <w:pPr>
        <w:pStyle w:val="Heading2"/>
      </w:pPr>
      <w:r>
        <w:t>A1</w:t>
      </w:r>
      <w:r w:rsidR="00A22396">
        <w:t>3</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11420D">
        <w:t>1</w:t>
      </w:r>
      <w:r w:rsidR="00615E90">
        <w:t>5</w:t>
      </w:r>
      <w:r w:rsidR="006965F2">
        <w:t xml:space="preserve"> </w:t>
      </w:r>
      <w:r w:rsidR="00615E90">
        <w:t>May</w:t>
      </w:r>
      <w:r w:rsidR="0011420D">
        <w:t xml:space="preserve"> </w:t>
      </w:r>
      <w:r w:rsidR="004437F2">
        <w:t>201</w:t>
      </w:r>
      <w:r w:rsidR="0011420D">
        <w:t>3</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C27BB2">
        <w:rPr>
          <w:b/>
        </w:rPr>
        <w:t>15 March</w:t>
      </w:r>
      <w:r w:rsidR="00307A36">
        <w:rPr>
          <w:b/>
        </w:rPr>
        <w:t xml:space="preserve"> 20</w:t>
      </w:r>
      <w:r w:rsidR="00BC3218">
        <w:rPr>
          <w:b/>
        </w:rPr>
        <w:t>1</w:t>
      </w:r>
      <w:r w:rsidR="0011420D">
        <w:rPr>
          <w:b/>
        </w:rPr>
        <w:t>3</w:t>
      </w:r>
      <w:r w:rsidR="00DB2A87">
        <w:rPr>
          <w:b/>
        </w:rPr>
        <w:tab/>
        <w:t>30 June 20</w:t>
      </w:r>
      <w:r w:rsidR="004437F2">
        <w:rPr>
          <w:b/>
        </w:rPr>
        <w:t>1</w:t>
      </w:r>
      <w:r w:rsidR="00836933">
        <w:rPr>
          <w:b/>
        </w:rPr>
        <w:t>2</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for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C27BB2">
        <w:t>28</w:t>
      </w:r>
      <w:r w:rsidR="004E2A8A">
        <w:t>7</w:t>
      </w:r>
      <w:r w:rsidR="00C27BB2">
        <w:t>,596</w:t>
      </w:r>
      <w:r w:rsidR="004437F2">
        <w:tab/>
      </w:r>
      <w:r w:rsidR="00836933">
        <w:t>216,516</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Default="00C27BB2">
      <w:pPr>
        <w:overflowPunct/>
        <w:autoSpaceDE/>
        <w:autoSpaceDN/>
        <w:adjustRightInd/>
        <w:textAlignment w:val="auto"/>
        <w:rPr>
          <w:sz w:val="24"/>
        </w:rPr>
      </w:pPr>
      <w:r>
        <w:br w:type="page"/>
      </w:r>
    </w:p>
    <w:p w:rsidR="00C27BB2" w:rsidRPr="000B16F9" w:rsidRDefault="00C27BB2" w:rsidP="008166D3">
      <w:pPr>
        <w:pStyle w:val="BodyTextIndent2"/>
        <w:tabs>
          <w:tab w:val="decimal" w:pos="6840"/>
          <w:tab w:val="decimal" w:pos="8640"/>
        </w:tabs>
        <w:spacing w:before="0" w:after="80" w:line="260" w:lineRule="exact"/>
        <w:ind w:left="0"/>
        <w:jc w:val="both"/>
      </w:pPr>
    </w:p>
    <w:p w:rsidR="00E24968" w:rsidRDefault="00E24968" w:rsidP="005352C3">
      <w:pPr>
        <w:pStyle w:val="Heading2"/>
      </w:pPr>
      <w:r>
        <w:t>A1</w:t>
      </w:r>
      <w:r w:rsidR="00A22396">
        <w:t>4</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11420D">
        <w:rPr>
          <w:b/>
        </w:rPr>
        <w:t>1</w:t>
      </w:r>
      <w:r w:rsidR="006F1854">
        <w:rPr>
          <w:b/>
        </w:rPr>
        <w:t xml:space="preserve"> </w:t>
      </w:r>
      <w:r w:rsidR="00824BC2">
        <w:rPr>
          <w:b/>
        </w:rPr>
        <w:t>March 2013</w:t>
      </w:r>
      <w:r w:rsidR="00BC3218">
        <w:rPr>
          <w:b/>
        </w:rPr>
        <w:tab/>
        <w:t xml:space="preserve">30 </w:t>
      </w:r>
      <w:r w:rsidR="00FF3DFD">
        <w:rPr>
          <w:b/>
        </w:rPr>
        <w:t>June 2012</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t>Autho</w:t>
      </w:r>
      <w:r w:rsidR="009D62C6">
        <w:t>rised and contracted for</w:t>
      </w:r>
      <w:r w:rsidR="009D62C6">
        <w:tab/>
      </w:r>
      <w:r w:rsidR="00A24FB7">
        <w:t>10,270</w:t>
      </w:r>
      <w:r w:rsidR="000C777F">
        <w:tab/>
      </w:r>
      <w:r w:rsidR="00FF3DFD">
        <w:t>8,256</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Default="0044669B" w:rsidP="008C2A25">
      <w:pPr>
        <w:pStyle w:val="Heading2"/>
        <w:spacing w:before="0" w:after="0"/>
        <w:ind w:left="720" w:hanging="720"/>
        <w:jc w:val="both"/>
        <w:rPr>
          <w:i w:val="0"/>
        </w:rPr>
      </w:pPr>
    </w:p>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A15.</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Related parties are those defined under FRS 124: Related Party Disclosures.  The Directors are of the opinion that the related party transactions and balances described below are carried out in the ordinary course of business and on commercial terms that are no more favourable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Pr>
          <w:b/>
        </w:rPr>
        <w:t>Quarter</w:t>
      </w:r>
      <w:r>
        <w:rPr>
          <w:b/>
        </w:rPr>
        <w:tab/>
        <w:t>from/(to)</w:t>
      </w:r>
    </w:p>
    <w:p w:rsidR="0044669B" w:rsidRDefault="0044669B" w:rsidP="0044669B">
      <w:pPr>
        <w:pStyle w:val="BodyTextIndent2"/>
        <w:tabs>
          <w:tab w:val="center" w:pos="6300"/>
          <w:tab w:val="center" w:pos="8100"/>
        </w:tabs>
        <w:spacing w:before="0" w:line="260" w:lineRule="exact"/>
        <w:ind w:left="0"/>
        <w:jc w:val="both"/>
        <w:rPr>
          <w:b/>
        </w:rPr>
      </w:pPr>
      <w:r>
        <w:rPr>
          <w:b/>
        </w:rPr>
        <w:tab/>
        <w:t>To date</w:t>
      </w:r>
      <w:r>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1B7937">
        <w:rPr>
          <w:b/>
        </w:rPr>
        <w:t>1</w:t>
      </w:r>
      <w:r>
        <w:rPr>
          <w:b/>
        </w:rPr>
        <w:t xml:space="preserve"> </w:t>
      </w:r>
      <w:r w:rsidR="00824BC2">
        <w:rPr>
          <w:b/>
        </w:rPr>
        <w:t>March</w:t>
      </w:r>
      <w:r w:rsidR="00D54290">
        <w:rPr>
          <w:b/>
        </w:rPr>
        <w:t xml:space="preserve"> </w:t>
      </w:r>
      <w:r>
        <w:rPr>
          <w:b/>
        </w:rPr>
        <w:t>201</w:t>
      </w:r>
      <w:r w:rsidR="00824BC2">
        <w:rPr>
          <w:b/>
        </w:rPr>
        <w:t>3</w:t>
      </w:r>
      <w:r>
        <w:rPr>
          <w:b/>
        </w:rPr>
        <w:tab/>
      </w:r>
      <w:r w:rsidR="00824BC2">
        <w:rPr>
          <w:b/>
        </w:rPr>
        <w:t>31 March 2013</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r>
        <w:t>substantial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824BC2">
        <w:t>27</w:t>
      </w:r>
      <w:r w:rsidRPr="004B00B9">
        <w:tab/>
      </w:r>
      <w:r w:rsidR="00824BC2">
        <w:t>12</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824BC2">
        <w:t>684</w:t>
      </w:r>
      <w:r>
        <w:tab/>
        <w:t xml:space="preserve"> </w:t>
      </w:r>
      <w:r w:rsidRPr="004B00B9">
        <w:t>(</w:t>
      </w:r>
      <w:r w:rsidR="00824BC2">
        <w:t>864</w:t>
      </w:r>
      <w:r w:rsidRPr="004B00B9">
        <w:t>)</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44669B" w:rsidRDefault="0044669B">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A173E6">
        <w:rPr>
          <w:b/>
        </w:rPr>
        <w:t>Preceding year</w:t>
      </w:r>
    </w:p>
    <w:p w:rsidR="00E24968" w:rsidRDefault="00E24968" w:rsidP="00B14905">
      <w:pPr>
        <w:pStyle w:val="BodyTextIndent2"/>
        <w:tabs>
          <w:tab w:val="center" w:pos="6300"/>
          <w:tab w:val="center" w:pos="8100"/>
        </w:tabs>
        <w:spacing w:before="0" w:line="260" w:lineRule="exact"/>
        <w:ind w:left="0"/>
        <w:jc w:val="both"/>
        <w:rPr>
          <w:b/>
        </w:rPr>
      </w:pPr>
      <w:r>
        <w:tab/>
      </w:r>
      <w:r w:rsidR="00AE28BE" w:rsidRPr="00AE28BE">
        <w:rPr>
          <w:b/>
        </w:rPr>
        <w:t>financial</w:t>
      </w:r>
      <w:r>
        <w:rPr>
          <w:b/>
        </w:rPr>
        <w:tab/>
      </w:r>
      <w:r w:rsidR="00A173E6">
        <w:rPr>
          <w:b/>
        </w:rPr>
        <w:t>corresponding</w:t>
      </w:r>
    </w:p>
    <w:p w:rsidR="00E24968" w:rsidRDefault="00A173E6" w:rsidP="00B14905">
      <w:pPr>
        <w:pStyle w:val="BodyTextIndent2"/>
        <w:tabs>
          <w:tab w:val="center" w:pos="6300"/>
          <w:tab w:val="center" w:pos="8100"/>
        </w:tabs>
        <w:spacing w:before="0" w:line="260" w:lineRule="exact"/>
        <w:ind w:left="0"/>
        <w:jc w:val="both"/>
        <w:rPr>
          <w:b/>
        </w:rPr>
      </w:pPr>
      <w:r>
        <w:rPr>
          <w:b/>
        </w:rPr>
        <w:tab/>
      </w:r>
      <w:r w:rsidR="00AE28BE">
        <w:rPr>
          <w:b/>
        </w:rPr>
        <w:t>period</w:t>
      </w:r>
      <w:r>
        <w:rPr>
          <w:b/>
        </w:rPr>
        <w:t xml:space="preserve"> ended</w:t>
      </w:r>
      <w:r>
        <w:rPr>
          <w:b/>
        </w:rPr>
        <w:tab/>
      </w:r>
      <w:r w:rsidR="00AE28BE">
        <w:rPr>
          <w:b/>
        </w:rPr>
        <w:t>period 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1B7937">
        <w:rPr>
          <w:b/>
        </w:rPr>
        <w:t>1</w:t>
      </w:r>
      <w:r w:rsidR="00A173E6">
        <w:rPr>
          <w:b/>
        </w:rPr>
        <w:t xml:space="preserve"> </w:t>
      </w:r>
      <w:r w:rsidR="00267BFF">
        <w:rPr>
          <w:b/>
        </w:rPr>
        <w:t>Mar</w:t>
      </w:r>
      <w:r w:rsidR="00A173E6">
        <w:rPr>
          <w:b/>
        </w:rPr>
        <w:t xml:space="preserve"> 20</w:t>
      </w:r>
      <w:r w:rsidR="00FE384B">
        <w:rPr>
          <w:b/>
        </w:rPr>
        <w:t>1</w:t>
      </w:r>
      <w:r w:rsidR="00267BFF">
        <w:rPr>
          <w:b/>
        </w:rPr>
        <w:t>3</w:t>
      </w:r>
      <w:r w:rsidR="00A173E6">
        <w:rPr>
          <w:b/>
        </w:rPr>
        <w:tab/>
      </w:r>
      <w:r w:rsidR="004152B6">
        <w:rPr>
          <w:b/>
        </w:rPr>
        <w:t>3</w:t>
      </w:r>
      <w:r w:rsidR="001B7937">
        <w:rPr>
          <w:b/>
        </w:rPr>
        <w:t>1</w:t>
      </w:r>
      <w:r w:rsidR="004152B6">
        <w:rPr>
          <w:b/>
        </w:rPr>
        <w:t xml:space="preserve"> </w:t>
      </w:r>
      <w:r w:rsidR="00267BFF">
        <w:rPr>
          <w:b/>
        </w:rPr>
        <w:t>Mar</w:t>
      </w:r>
      <w:r w:rsidR="004152B6">
        <w:rPr>
          <w:b/>
        </w:rPr>
        <w:t xml:space="preserve"> 201</w:t>
      </w:r>
      <w:r w:rsidR="00267BFF">
        <w:rPr>
          <w:b/>
        </w:rPr>
        <w:t>2</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267BFF">
        <w:t>314,406</w:t>
      </w:r>
      <w:r w:rsidR="004F6D6C">
        <w:tab/>
      </w:r>
      <w:r w:rsidR="00267BFF">
        <w:t>344,009</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267BFF">
        <w:rPr>
          <w:szCs w:val="24"/>
        </w:rPr>
        <w:t>25,448</w:t>
      </w:r>
      <w:r w:rsidR="0054230C" w:rsidRPr="00370B34">
        <w:rPr>
          <w:szCs w:val="24"/>
        </w:rPr>
        <w:tab/>
      </w:r>
      <w:r w:rsidR="00267BFF">
        <w:rPr>
          <w:szCs w:val="24"/>
        </w:rPr>
        <w:t>25,862</w:t>
      </w:r>
    </w:p>
    <w:p w:rsidR="00184256"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posted revenue of RM</w:t>
      </w:r>
      <w:r w:rsidR="00267BFF">
        <w:t>314.406</w:t>
      </w:r>
      <w:r w:rsidR="004E7E05">
        <w:t xml:space="preserve"> </w:t>
      </w:r>
      <w:r w:rsidR="000C77E3">
        <w:t xml:space="preserve">million for the </w:t>
      </w:r>
      <w:r w:rsidR="003903DA">
        <w:t xml:space="preserve">current </w:t>
      </w:r>
      <w:r w:rsidR="001B7937">
        <w:t xml:space="preserve">financial period </w:t>
      </w:r>
      <w:r w:rsidRPr="002E193A">
        <w:t>ende</w:t>
      </w:r>
      <w:r w:rsidR="000C77E3">
        <w:t>d 3</w:t>
      </w:r>
      <w:r w:rsidR="001B7937">
        <w:t>1</w:t>
      </w:r>
      <w:r w:rsidR="000C77E3">
        <w:t xml:space="preserve"> </w:t>
      </w:r>
      <w:r w:rsidR="00267BFF">
        <w:t>March</w:t>
      </w:r>
      <w:r w:rsidR="00FE67A7">
        <w:t xml:space="preserve"> </w:t>
      </w:r>
      <w:r w:rsidR="00963ADC">
        <w:t>20</w:t>
      </w:r>
      <w:r w:rsidR="00FE384B">
        <w:t>1</w:t>
      </w:r>
      <w:r w:rsidR="00267BFF">
        <w:t>3</w:t>
      </w:r>
      <w:r w:rsidR="00EB4A06" w:rsidRPr="002E193A">
        <w:t xml:space="preserve">, which is </w:t>
      </w:r>
      <w:r w:rsidR="000C77E3">
        <w:t>RM</w:t>
      </w:r>
      <w:r w:rsidR="00267BFF">
        <w:t>29</w:t>
      </w:r>
      <w:r w:rsidR="00820652">
        <w:t>.</w:t>
      </w:r>
      <w:r w:rsidR="00267BFF">
        <w:t>603</w:t>
      </w:r>
      <w:r w:rsidR="000C77E3">
        <w:t xml:space="preserve"> million or </w:t>
      </w:r>
      <w:r w:rsidR="00267BFF">
        <w:t>8</w:t>
      </w:r>
      <w:r w:rsidR="00A740A0">
        <w:t>.</w:t>
      </w:r>
      <w:r w:rsidR="00267BFF">
        <w:t>60</w:t>
      </w:r>
      <w:r w:rsidRPr="002E193A">
        <w:t xml:space="preserve">% </w:t>
      </w:r>
      <w:r w:rsidR="00267BFF">
        <w:t>lower</w:t>
      </w:r>
      <w:r w:rsidRPr="002E193A">
        <w:t xml:space="preserve"> than </w:t>
      </w:r>
      <w:r w:rsidR="003903DA">
        <w:t xml:space="preserve">the corresponding </w:t>
      </w:r>
      <w:r w:rsidR="001B7937">
        <w:t xml:space="preserve">period </w:t>
      </w:r>
      <w:r w:rsidR="003903DA">
        <w:t xml:space="preserve">of the preceding year </w:t>
      </w:r>
      <w:r w:rsidR="004F6D6C">
        <w:t>of RM</w:t>
      </w:r>
      <w:r w:rsidR="00267BFF">
        <w:t>344</w:t>
      </w:r>
      <w:r w:rsidR="003903DA">
        <w:t>.</w:t>
      </w:r>
      <w:r w:rsidR="00267BFF">
        <w:t xml:space="preserve">009 </w:t>
      </w:r>
      <w:r w:rsidRPr="002E193A">
        <w:t>million.</w:t>
      </w:r>
      <w:r w:rsidR="00E33754">
        <w:t xml:space="preserve"> </w:t>
      </w:r>
    </w:p>
    <w:p w:rsidR="00E66EB4" w:rsidRDefault="00E66EB4" w:rsidP="00E66EB4">
      <w:pPr>
        <w:pStyle w:val="BodyTextIndent2"/>
        <w:tabs>
          <w:tab w:val="left" w:pos="720"/>
        </w:tabs>
        <w:spacing w:before="0" w:line="260" w:lineRule="exact"/>
        <w:jc w:val="both"/>
      </w:pPr>
    </w:p>
    <w:p w:rsidR="00925910" w:rsidRDefault="00E33754" w:rsidP="00E66EB4">
      <w:pPr>
        <w:pStyle w:val="BodyTextIndent2"/>
        <w:tabs>
          <w:tab w:val="left" w:pos="720"/>
        </w:tabs>
        <w:spacing w:before="0" w:line="260" w:lineRule="exact"/>
        <w:jc w:val="both"/>
      </w:pPr>
      <w:r>
        <w:t>The shipping, marine services &amp; others division recorded revenue of RM</w:t>
      </w:r>
      <w:r w:rsidR="001B7937">
        <w:t>1</w:t>
      </w:r>
      <w:r w:rsidR="00267BFF">
        <w:t>89</w:t>
      </w:r>
      <w:r w:rsidR="001B7937">
        <w:t>.</w:t>
      </w:r>
      <w:r w:rsidR="00267BFF">
        <w:t>096</w:t>
      </w:r>
      <w:r>
        <w:t xml:space="preserve"> million </w:t>
      </w:r>
      <w:r w:rsidR="00267BFF">
        <w:t>which is RM19</w:t>
      </w:r>
      <w:r w:rsidR="00925910">
        <w:t>.</w:t>
      </w:r>
      <w:r w:rsidR="00267BFF">
        <w:t>010</w:t>
      </w:r>
      <w:r w:rsidR="00925910">
        <w:t xml:space="preserve"> million or </w:t>
      </w:r>
      <w:r w:rsidR="00267BFF">
        <w:t>9</w:t>
      </w:r>
      <w:r w:rsidR="00925910">
        <w:t>.</w:t>
      </w:r>
      <w:r w:rsidR="00267BFF">
        <w:t>13</w:t>
      </w:r>
      <w:r w:rsidR="00925910">
        <w:t xml:space="preserve">% </w:t>
      </w:r>
      <w:r w:rsidR="00E076AC">
        <w:t>lower</w:t>
      </w:r>
      <w:r w:rsidR="00925910">
        <w:t xml:space="preserve"> than the corresponding </w:t>
      </w:r>
      <w:r w:rsidR="00E076AC">
        <w:t>period</w:t>
      </w:r>
      <w:r w:rsidR="00925910">
        <w:t xml:space="preserve"> of the preceding year of</w:t>
      </w:r>
      <w:r w:rsidR="00F40268">
        <w:t xml:space="preserve"> RM</w:t>
      </w:r>
      <w:r w:rsidR="00267BFF">
        <w:t>208</w:t>
      </w:r>
      <w:r w:rsidR="00E076AC">
        <w:t>.</w:t>
      </w:r>
      <w:r w:rsidR="00267BFF">
        <w:t>106</w:t>
      </w:r>
      <w:r w:rsidR="00F40268">
        <w:t xml:space="preserve"> million.  The </w:t>
      </w:r>
      <w:r w:rsidR="00E076AC">
        <w:t>de</w:t>
      </w:r>
      <w:r w:rsidR="00F40268">
        <w:t xml:space="preserve">crease </w:t>
      </w:r>
      <w:r w:rsidR="00925910">
        <w:t xml:space="preserve">was mainly attributable to </w:t>
      </w:r>
      <w:r w:rsidR="00E076AC">
        <w:t>lower</w:t>
      </w:r>
      <w:r w:rsidR="00925910">
        <w:t xml:space="preserve"> cargo volume</w:t>
      </w:r>
      <w:r w:rsidR="005218F4">
        <w:t xml:space="preserve"> due to festive season</w:t>
      </w:r>
      <w:r w:rsidR="00925910">
        <w:t xml:space="preserve">.  The profit before tax </w:t>
      </w:r>
      <w:r w:rsidR="00F40268">
        <w:t xml:space="preserve">for the current </w:t>
      </w:r>
      <w:r w:rsidR="0004250C">
        <w:t>period</w:t>
      </w:r>
      <w:r w:rsidR="00F40268">
        <w:t xml:space="preserve"> is </w:t>
      </w:r>
      <w:r w:rsidR="00925910">
        <w:t>RM</w:t>
      </w:r>
      <w:r w:rsidR="00615D65">
        <w:t>5</w:t>
      </w:r>
      <w:r w:rsidR="00925910">
        <w:t>.</w:t>
      </w:r>
      <w:r w:rsidR="00615D65">
        <w:t>728</w:t>
      </w:r>
      <w:r w:rsidR="00925910">
        <w:t xml:space="preserve"> million </w:t>
      </w:r>
      <w:r w:rsidR="00E43566">
        <w:t>which is RM</w:t>
      </w:r>
      <w:r w:rsidR="00615D65">
        <w:t>3</w:t>
      </w:r>
      <w:r w:rsidR="00F40268">
        <w:t>.</w:t>
      </w:r>
      <w:r w:rsidR="00615D65">
        <w:t>164</w:t>
      </w:r>
      <w:r w:rsidR="00F40268">
        <w:t xml:space="preserve"> million lower than the corresponding </w:t>
      </w:r>
      <w:r w:rsidR="0004250C">
        <w:t>period</w:t>
      </w:r>
      <w:r w:rsidR="00F40268">
        <w:t xml:space="preserve"> of the preceding year of RM</w:t>
      </w:r>
      <w:r w:rsidR="00267BFF">
        <w:t>8</w:t>
      </w:r>
      <w:r w:rsidR="00F40268">
        <w:t>.</w:t>
      </w:r>
      <w:r w:rsidR="00267BFF">
        <w:t>892</w:t>
      </w:r>
      <w:r w:rsidR="00F40268">
        <w:t xml:space="preserve"> million.  The lower profit was mainly due to </w:t>
      </w:r>
      <w:r w:rsidR="005218F4">
        <w:t>lower volume and lower margin.</w:t>
      </w:r>
    </w:p>
    <w:p w:rsidR="005218F4" w:rsidRDefault="005218F4" w:rsidP="00E66EB4">
      <w:pPr>
        <w:pStyle w:val="BodyTextIndent2"/>
        <w:tabs>
          <w:tab w:val="left" w:pos="720"/>
        </w:tabs>
        <w:spacing w:before="0" w:line="260" w:lineRule="exact"/>
        <w:jc w:val="both"/>
      </w:pPr>
    </w:p>
    <w:p w:rsidR="00E66EB4" w:rsidRDefault="00E33754" w:rsidP="00E66EB4">
      <w:pPr>
        <w:pStyle w:val="BodyTextIndent2"/>
        <w:tabs>
          <w:tab w:val="left" w:pos="720"/>
        </w:tabs>
        <w:spacing w:before="0" w:line="260" w:lineRule="exact"/>
        <w:jc w:val="both"/>
      </w:pPr>
      <w:r>
        <w:t>The logistics services and equipment rental</w:t>
      </w:r>
      <w:r w:rsidR="001B2D5F">
        <w:t xml:space="preserve"> division recorded revenue of RM</w:t>
      </w:r>
      <w:r w:rsidR="00267BFF">
        <w:t>138</w:t>
      </w:r>
      <w:r w:rsidR="001B2D5F">
        <w:t>.</w:t>
      </w:r>
      <w:r w:rsidR="00267BFF">
        <w:t>188</w:t>
      </w:r>
      <w:r>
        <w:t xml:space="preserve"> million and profit before tax of RM</w:t>
      </w:r>
      <w:r w:rsidR="00267BFF">
        <w:t>20</w:t>
      </w:r>
      <w:r w:rsidR="0004250C">
        <w:t>.</w:t>
      </w:r>
      <w:r w:rsidR="00267BFF">
        <w:t>192</w:t>
      </w:r>
      <w:r>
        <w:t xml:space="preserve"> million as compare</w:t>
      </w:r>
      <w:r w:rsidR="00811268">
        <w:t xml:space="preserve">d to the previous corresponding </w:t>
      </w:r>
      <w:r w:rsidR="0004250C">
        <w:t>period</w:t>
      </w:r>
      <w:r w:rsidR="00811268">
        <w:t xml:space="preserve"> of the preceding year </w:t>
      </w:r>
      <w:r>
        <w:t>of RM</w:t>
      </w:r>
      <w:r w:rsidR="00267BFF">
        <w:t>115.185</w:t>
      </w:r>
      <w:r>
        <w:t xml:space="preserve"> million and RM</w:t>
      </w:r>
      <w:r w:rsidR="00267BFF">
        <w:t>15</w:t>
      </w:r>
      <w:r w:rsidR="0004250C">
        <w:t>.</w:t>
      </w:r>
      <w:r w:rsidR="00267BFF">
        <w:t>060</w:t>
      </w:r>
      <w:r>
        <w:t xml:space="preserve"> million resp</w:t>
      </w:r>
      <w:r w:rsidR="00E66EB4">
        <w:t xml:space="preserve">ectively.  </w:t>
      </w:r>
      <w:r w:rsidR="005218F4">
        <w:t>The increase in revenue and profit are due to the increase of work volume during the period.</w:t>
      </w:r>
    </w:p>
    <w:p w:rsidR="005218F4" w:rsidRDefault="005218F4" w:rsidP="00E66EB4">
      <w:pPr>
        <w:pStyle w:val="BodyTextIndent2"/>
        <w:tabs>
          <w:tab w:val="left" w:pos="720"/>
        </w:tabs>
        <w:spacing w:before="0" w:line="260" w:lineRule="exact"/>
        <w:jc w:val="both"/>
      </w:pPr>
    </w:p>
    <w:p w:rsidR="00E66EB4" w:rsidRDefault="00E66EB4" w:rsidP="00E66EB4">
      <w:pPr>
        <w:pStyle w:val="BodyTextIndent2"/>
        <w:tabs>
          <w:tab w:val="left" w:pos="720"/>
        </w:tabs>
        <w:spacing w:before="0" w:line="260" w:lineRule="exact"/>
        <w:jc w:val="both"/>
      </w:pPr>
      <w:r>
        <w:t>The engineering contract division recorded a revenue of RM</w:t>
      </w:r>
      <w:r w:rsidR="00267BFF">
        <w:t>2</w:t>
      </w:r>
      <w:r w:rsidR="0004250C">
        <w:t>6</w:t>
      </w:r>
      <w:r>
        <w:t>.</w:t>
      </w:r>
      <w:r w:rsidR="00267BFF">
        <w:t>429</w:t>
      </w:r>
      <w:r>
        <w:t xml:space="preserve"> million and </w:t>
      </w:r>
      <w:r w:rsidR="0004250C">
        <w:t>loss</w:t>
      </w:r>
      <w:r>
        <w:t xml:space="preserve"> before tax of RM</w:t>
      </w:r>
      <w:r w:rsidR="006D0E4A">
        <w:t>0.</w:t>
      </w:r>
      <w:r w:rsidR="00267BFF">
        <w:t>472</w:t>
      </w:r>
      <w:r>
        <w:t xml:space="preserve"> million as compared to the </w:t>
      </w:r>
      <w:r w:rsidR="005218F4">
        <w:t xml:space="preserve">revenue of </w:t>
      </w:r>
      <w:r>
        <w:t>prev</w:t>
      </w:r>
      <w:r w:rsidR="006D0E4A">
        <w:t xml:space="preserve">ious corresponding </w:t>
      </w:r>
      <w:r w:rsidR="0004250C">
        <w:t>period</w:t>
      </w:r>
      <w:r w:rsidR="00811268">
        <w:t xml:space="preserve"> of the preceding year</w:t>
      </w:r>
      <w:r w:rsidR="006D0E4A">
        <w:t xml:space="preserve"> of RM</w:t>
      </w:r>
      <w:r w:rsidR="00267BFF">
        <w:t>64</w:t>
      </w:r>
      <w:r w:rsidR="0004250C">
        <w:t>.</w:t>
      </w:r>
      <w:r w:rsidR="00615E90">
        <w:t>428</w:t>
      </w:r>
      <w:r>
        <w:t xml:space="preserve"> million and </w:t>
      </w:r>
      <w:r w:rsidR="00267BFF">
        <w:t xml:space="preserve">profit before tax of </w:t>
      </w:r>
      <w:r>
        <w:t>RM</w:t>
      </w:r>
      <w:r w:rsidR="00267BFF">
        <w:t>1</w:t>
      </w:r>
      <w:r>
        <w:t>.</w:t>
      </w:r>
      <w:r w:rsidR="00267BFF">
        <w:t>103</w:t>
      </w:r>
      <w:r>
        <w:t xml:space="preserve"> million respectively</w:t>
      </w:r>
      <w:r w:rsidR="005119B2">
        <w:t>.</w:t>
      </w:r>
      <w:r w:rsidR="00D723D2">
        <w:t xml:space="preserve">  The lower revenue </w:t>
      </w:r>
      <w:r w:rsidR="00B02748">
        <w:t>which caused a marginal loss</w:t>
      </w:r>
      <w:r w:rsidR="00D723D2">
        <w:t xml:space="preserve"> was mainly due to most </w:t>
      </w:r>
      <w:r w:rsidR="00E43566">
        <w:t xml:space="preserve">of </w:t>
      </w:r>
      <w:r w:rsidR="00D723D2">
        <w:t xml:space="preserve">the </w:t>
      </w:r>
      <w:r w:rsidR="00811268">
        <w:t>major projects have</w:t>
      </w:r>
      <w:r w:rsidR="00D723D2">
        <w:t xml:space="preserve"> </w:t>
      </w:r>
      <w:r w:rsidR="00811268">
        <w:t xml:space="preserve">been </w:t>
      </w:r>
      <w:r w:rsidR="00D723D2">
        <w:t>completed and newly secured projects are at the beginning stages.</w:t>
      </w:r>
    </w:p>
    <w:p w:rsidR="00E24968" w:rsidRDefault="00F030A5">
      <w:pPr>
        <w:pStyle w:val="Heading2"/>
      </w:pPr>
      <w:r>
        <w:br w:type="page"/>
      </w:r>
      <w:r w:rsidR="00E24968">
        <w:t>B2.</w:t>
      </w:r>
      <w:r w:rsidR="00E24968">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BF55FA">
        <w:rPr>
          <w:b/>
        </w:rPr>
        <w:t>3</w:t>
      </w:r>
      <w:r w:rsidR="0004250C">
        <w:rPr>
          <w:b/>
        </w:rPr>
        <w:t>1</w:t>
      </w:r>
      <w:r w:rsidR="00BF55FA">
        <w:rPr>
          <w:b/>
        </w:rPr>
        <w:t xml:space="preserve"> </w:t>
      </w:r>
      <w:r w:rsidR="00967A5A">
        <w:rPr>
          <w:b/>
        </w:rPr>
        <w:t>March</w:t>
      </w:r>
      <w:r w:rsidR="00407914">
        <w:rPr>
          <w:b/>
        </w:rPr>
        <w:t xml:space="preserve"> </w:t>
      </w:r>
      <w:r w:rsidR="00BF55FA">
        <w:rPr>
          <w:b/>
        </w:rPr>
        <w:t>20</w:t>
      </w:r>
      <w:r w:rsidR="00AD4B65">
        <w:rPr>
          <w:b/>
        </w:rPr>
        <w:t>1</w:t>
      </w:r>
      <w:r w:rsidR="00967A5A">
        <w:rPr>
          <w:b/>
        </w:rPr>
        <w:t>3</w:t>
      </w:r>
      <w:r w:rsidR="00BF55FA">
        <w:rPr>
          <w:b/>
        </w:rPr>
        <w:tab/>
      </w:r>
      <w:r w:rsidR="00967A5A">
        <w:rPr>
          <w:b/>
        </w:rPr>
        <w:t>31 Dec</w:t>
      </w:r>
      <w:r w:rsidR="0004250C">
        <w:rPr>
          <w:b/>
        </w:rPr>
        <w:t xml:space="preserve"> 2012</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8310B5">
      <w:pPr>
        <w:pStyle w:val="BodyTextIndent2"/>
        <w:tabs>
          <w:tab w:val="decimal" w:pos="6660"/>
          <w:tab w:val="decimal" w:pos="8550"/>
        </w:tabs>
        <w:spacing w:before="120" w:after="120" w:line="260" w:lineRule="exact"/>
        <w:ind w:left="360" w:firstLine="360"/>
        <w:jc w:val="both"/>
      </w:pPr>
      <w:r>
        <w:t>Revenue</w:t>
      </w:r>
      <w:r>
        <w:tab/>
      </w:r>
      <w:r w:rsidR="00967A5A">
        <w:t>102</w:t>
      </w:r>
      <w:r w:rsidR="00F832EC">
        <w:t>,</w:t>
      </w:r>
      <w:r w:rsidR="00967A5A">
        <w:t>624</w:t>
      </w:r>
      <w:r w:rsidR="00AD4B65">
        <w:tab/>
      </w:r>
      <w:r w:rsidR="00967A5A">
        <w:t>110,986</w:t>
      </w:r>
    </w:p>
    <w:p w:rsidR="003C13EA" w:rsidRDefault="009B0B95" w:rsidP="00967A5A">
      <w:pPr>
        <w:pStyle w:val="BodyTextIndent2"/>
        <w:tabs>
          <w:tab w:val="decimal" w:pos="6660"/>
          <w:tab w:val="decimal" w:pos="8550"/>
        </w:tabs>
        <w:spacing w:before="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54230C">
        <w:tab/>
      </w:r>
      <w:r w:rsidR="00967A5A">
        <w:t>6</w:t>
      </w:r>
      <w:r w:rsidR="0004250C">
        <w:t>,8</w:t>
      </w:r>
      <w:r w:rsidR="00967A5A">
        <w:t>28</w:t>
      </w:r>
      <w:r w:rsidR="00CF4B50">
        <w:tab/>
      </w:r>
      <w:r w:rsidR="00967A5A">
        <w:t>8,836</w:t>
      </w:r>
    </w:p>
    <w:p w:rsidR="00967A5A" w:rsidRDefault="00967A5A" w:rsidP="00967A5A">
      <w:pPr>
        <w:pStyle w:val="BodyTextIndent2"/>
        <w:tabs>
          <w:tab w:val="decimal" w:pos="6660"/>
          <w:tab w:val="decimal" w:pos="8550"/>
        </w:tabs>
        <w:spacing w:before="0" w:after="120" w:line="260" w:lineRule="exact"/>
        <w:ind w:left="360" w:firstLine="360"/>
        <w:jc w:val="both"/>
      </w:pPr>
    </w:p>
    <w:p w:rsidR="008B183C" w:rsidRDefault="000C64BC" w:rsidP="009108D8">
      <w:pPr>
        <w:pStyle w:val="BodyTextIndent2"/>
        <w:spacing w:before="0" w:line="260" w:lineRule="exact"/>
        <w:jc w:val="both"/>
      </w:pPr>
      <w:r w:rsidRPr="003B0469">
        <w:t xml:space="preserve">The </w:t>
      </w:r>
      <w:r w:rsidR="0054637E">
        <w:t xml:space="preserve">Group posted </w:t>
      </w:r>
      <w:r w:rsidR="00AD4B65">
        <w:t>a</w:t>
      </w:r>
      <w:r w:rsidR="0004250C">
        <w:t>n</w:t>
      </w:r>
      <w:r w:rsidR="003C13EA">
        <w:t xml:space="preserve"> </w:t>
      </w:r>
      <w:r w:rsidR="00967A5A">
        <w:t>de</w:t>
      </w:r>
      <w:r w:rsidR="00D73C0E">
        <w:t>crease</w:t>
      </w:r>
      <w:r w:rsidR="00941451">
        <w:t xml:space="preserve"> in revenue of RM</w:t>
      </w:r>
      <w:r w:rsidR="00967A5A">
        <w:t>8</w:t>
      </w:r>
      <w:r w:rsidR="003C13EA">
        <w:t>.</w:t>
      </w:r>
      <w:r w:rsidR="00967A5A">
        <w:t>362</w:t>
      </w:r>
      <w:r w:rsidR="00941451">
        <w:t xml:space="preserve"> million or </w:t>
      </w:r>
      <w:r w:rsidR="00967A5A">
        <w:t>7</w:t>
      </w:r>
      <w:r w:rsidR="003C13EA">
        <w:t>.</w:t>
      </w:r>
      <w:r w:rsidR="00967A5A">
        <w:t>53</w:t>
      </w:r>
      <w:r w:rsidR="00AD4B65">
        <w:t>%</w:t>
      </w:r>
      <w:r w:rsidR="004873D1">
        <w:t xml:space="preserve"> </w:t>
      </w:r>
      <w:r w:rsidR="00A440DC">
        <w:t>in</w:t>
      </w:r>
      <w:r w:rsidR="00941451">
        <w:t xml:space="preserve"> the current quarter</w:t>
      </w:r>
      <w:r w:rsidR="00D73C0E">
        <w:t xml:space="preserve"> </w:t>
      </w:r>
      <w:r w:rsidR="00CF4B50">
        <w:t>ended 3</w:t>
      </w:r>
      <w:r w:rsidR="0004250C">
        <w:t>1</w:t>
      </w:r>
      <w:r w:rsidR="00CF4B50">
        <w:t xml:space="preserve"> </w:t>
      </w:r>
      <w:r w:rsidR="00967A5A">
        <w:t>March</w:t>
      </w:r>
      <w:r w:rsidR="00941451">
        <w:t xml:space="preserve"> 20</w:t>
      </w:r>
      <w:r w:rsidR="00AD4B65">
        <w:t>1</w:t>
      </w:r>
      <w:r w:rsidR="00967A5A">
        <w:t>3</w:t>
      </w:r>
      <w:r w:rsidR="00941451">
        <w:t xml:space="preserve"> of RM</w:t>
      </w:r>
      <w:r w:rsidR="00F832EC">
        <w:t>1</w:t>
      </w:r>
      <w:r w:rsidR="00967A5A">
        <w:t>02</w:t>
      </w:r>
      <w:r w:rsidR="00AD4B65">
        <w:t>.</w:t>
      </w:r>
      <w:r w:rsidR="00967A5A">
        <w:t>624</w:t>
      </w:r>
      <w:r w:rsidRPr="003B0469">
        <w:t xml:space="preserve"> </w:t>
      </w:r>
      <w:r w:rsidR="0034336D" w:rsidRPr="003B0469">
        <w:t xml:space="preserve">million </w:t>
      </w:r>
      <w:r w:rsidR="00A440DC">
        <w:t xml:space="preserve">as compared </w:t>
      </w:r>
      <w:r w:rsidR="00CE2CC5">
        <w:t xml:space="preserve">to </w:t>
      </w:r>
      <w:r w:rsidR="00941451">
        <w:t>RM</w:t>
      </w:r>
      <w:r w:rsidR="003C13EA">
        <w:t>1</w:t>
      </w:r>
      <w:r w:rsidR="00967A5A">
        <w:t>10</w:t>
      </w:r>
      <w:r w:rsidR="0004250C">
        <w:t>.</w:t>
      </w:r>
      <w:r w:rsidR="00967A5A">
        <w:t>986</w:t>
      </w:r>
      <w:r w:rsidR="004873D1" w:rsidRPr="003B0469">
        <w:t xml:space="preserve"> </w:t>
      </w:r>
      <w:r w:rsidR="0034336D" w:rsidRPr="003B0469">
        <w:t>million in the most recent preceding quarter</w:t>
      </w:r>
      <w:r w:rsidR="00941451">
        <w:t xml:space="preserve"> ended 3</w:t>
      </w:r>
      <w:r w:rsidR="00967A5A">
        <w:t>1</w:t>
      </w:r>
      <w:r w:rsidR="00941451">
        <w:t xml:space="preserve"> </w:t>
      </w:r>
      <w:r w:rsidR="00967A5A">
        <w:t>Dec</w:t>
      </w:r>
      <w:r w:rsidR="0004250C">
        <w:t>ember</w:t>
      </w:r>
      <w:r w:rsidR="00D73C0E">
        <w:t xml:space="preserve"> 20</w:t>
      </w:r>
      <w:r w:rsidR="00AD4B65">
        <w:t>1</w:t>
      </w:r>
      <w:r w:rsidR="003C13EA">
        <w:t>2</w:t>
      </w:r>
      <w:r w:rsidR="00CE2CC5">
        <w:t>.</w:t>
      </w:r>
      <w:r w:rsidR="00F030A5">
        <w:t xml:space="preserve"> </w:t>
      </w:r>
      <w:r w:rsidR="003C13EA">
        <w:t xml:space="preserve"> The </w:t>
      </w:r>
      <w:r w:rsidR="00967A5A">
        <w:t>de</w:t>
      </w:r>
      <w:r w:rsidR="0004250C">
        <w:t>c</w:t>
      </w:r>
      <w:r w:rsidR="00D10233">
        <w:t xml:space="preserve">rease in the revenue is </w:t>
      </w:r>
      <w:r w:rsidR="008B183C">
        <w:t xml:space="preserve">mainly from </w:t>
      </w:r>
      <w:r w:rsidR="00D10233">
        <w:t>shipping, marine services &amp; others division</w:t>
      </w:r>
      <w:r w:rsidR="002E2B7B">
        <w:t>.</w:t>
      </w:r>
    </w:p>
    <w:p w:rsidR="002E2B7B" w:rsidRDefault="002E2B7B" w:rsidP="009108D8">
      <w:pPr>
        <w:pStyle w:val="BodyTextIndent2"/>
        <w:spacing w:before="0" w:line="260" w:lineRule="exact"/>
        <w:jc w:val="both"/>
      </w:pPr>
    </w:p>
    <w:p w:rsidR="003F37C8" w:rsidRDefault="00F030A5" w:rsidP="009108D8">
      <w:pPr>
        <w:pStyle w:val="BodyTextIndent2"/>
        <w:spacing w:before="0" w:line="260" w:lineRule="exact"/>
        <w:jc w:val="both"/>
      </w:pPr>
      <w:r>
        <w:t>The Group has re</w:t>
      </w:r>
      <w:r w:rsidRPr="003B0469">
        <w:t>gistered a</w:t>
      </w:r>
      <w:r>
        <w:t xml:space="preserve"> </w:t>
      </w:r>
      <w:r w:rsidR="008B183C">
        <w:t>de</w:t>
      </w:r>
      <w:r w:rsidR="003C13EA">
        <w:t xml:space="preserve">crease in </w:t>
      </w:r>
      <w:r>
        <w:t xml:space="preserve">profit before taxation of </w:t>
      </w:r>
      <w:r w:rsidR="00D10233">
        <w:t xml:space="preserve">RM2.008 million or 22.73% in the current quarter ended 31 March 2013 of </w:t>
      </w:r>
      <w:r>
        <w:t>RM</w:t>
      </w:r>
      <w:r w:rsidR="00967A5A">
        <w:t>6</w:t>
      </w:r>
      <w:r>
        <w:t>.</w:t>
      </w:r>
      <w:r w:rsidR="008B183C">
        <w:t>8</w:t>
      </w:r>
      <w:r w:rsidR="00967A5A">
        <w:t>28</w:t>
      </w:r>
      <w:r>
        <w:t xml:space="preserve"> </w:t>
      </w:r>
      <w:r w:rsidRPr="003B0469">
        <w:t>million as co</w:t>
      </w:r>
      <w:r>
        <w:t>mpared to a profit</w:t>
      </w:r>
      <w:r w:rsidRPr="003B0469">
        <w:t xml:space="preserve"> </w:t>
      </w:r>
      <w:r w:rsidR="003C13EA">
        <w:t>before taxation of RM</w:t>
      </w:r>
      <w:r w:rsidR="00967A5A">
        <w:t>8</w:t>
      </w:r>
      <w:r>
        <w:t>.</w:t>
      </w:r>
      <w:r w:rsidR="00967A5A">
        <w:t>836</w:t>
      </w:r>
      <w:r>
        <w:t xml:space="preserve"> </w:t>
      </w:r>
      <w:r w:rsidRPr="003B0469">
        <w:t>million in the most rec</w:t>
      </w:r>
      <w:r w:rsidR="009108D8">
        <w:t xml:space="preserve">ent preceding quarter </w:t>
      </w:r>
      <w:r w:rsidR="003F37C8">
        <w:t xml:space="preserve">mainly from the </w:t>
      </w:r>
      <w:r w:rsidR="00C339E7">
        <w:t xml:space="preserve">shipping, marine services &amp; others division </w:t>
      </w:r>
      <w:r w:rsidR="003F37C8">
        <w:t>due to reason mentioned in paragraph B1.</w:t>
      </w:r>
    </w:p>
    <w:p w:rsidR="003F37C8" w:rsidRDefault="003F37C8" w:rsidP="009108D8">
      <w:pPr>
        <w:pStyle w:val="BodyTextIndent2"/>
        <w:spacing w:before="0" w:line="260" w:lineRule="exact"/>
        <w:jc w:val="both"/>
      </w:pPr>
    </w:p>
    <w:p w:rsidR="00E24968" w:rsidRPr="00673D37" w:rsidRDefault="00E24968">
      <w:pPr>
        <w:pStyle w:val="Heading2"/>
      </w:pPr>
      <w:r w:rsidRPr="00673D37">
        <w:t>B3.</w:t>
      </w:r>
      <w:r w:rsidRPr="00673D37">
        <w:tab/>
        <w:t>Prospects</w:t>
      </w:r>
      <w:r w:rsidR="001808B6">
        <w:t xml:space="preserve"> for the Current Financial Year</w:t>
      </w:r>
    </w:p>
    <w:p w:rsidR="009108D8" w:rsidRDefault="009554A0" w:rsidP="009108D8">
      <w:pPr>
        <w:pStyle w:val="BodyTextIndent2"/>
        <w:spacing w:line="260" w:lineRule="exact"/>
        <w:ind w:hanging="11"/>
        <w:jc w:val="both"/>
      </w:pPr>
      <w:r>
        <w:t xml:space="preserve">The Group expects </w:t>
      </w:r>
      <w:r w:rsidR="009108D8">
        <w:t>stiff competition in the domestic and regional shipping industries due to oversupply of shipping spaces from various regional players.  However, the logistics services, equipment rental and engineering divisions are expected to achieve a satisfactory result for the current financial year.</w:t>
      </w: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C50F59" w:rsidRDefault="000542ED" w:rsidP="00325F0B">
      <w:pPr>
        <w:pStyle w:val="Heading2"/>
      </w:pPr>
      <w:r>
        <w:br w:type="page"/>
      </w: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Quarter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81D08" w:rsidP="00E9492A">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31/03/2013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081D08">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E9492A">
              <w:rPr>
                <w:b/>
                <w:color w:val="000000"/>
                <w:sz w:val="24"/>
                <w:szCs w:val="24"/>
                <w:lang w:val="en-MY" w:eastAsia="en-MY"/>
              </w:rPr>
              <w:t>1</w:t>
            </w:r>
            <w:r>
              <w:rPr>
                <w:b/>
                <w:color w:val="000000"/>
                <w:sz w:val="24"/>
                <w:szCs w:val="24"/>
                <w:lang w:val="en-MY" w:eastAsia="en-MY"/>
              </w:rPr>
              <w:t>/</w:t>
            </w:r>
            <w:r w:rsidR="00081D08">
              <w:rPr>
                <w:b/>
                <w:color w:val="000000"/>
                <w:sz w:val="24"/>
                <w:szCs w:val="24"/>
                <w:lang w:val="en-MY" w:eastAsia="en-MY"/>
              </w:rPr>
              <w:t>03</w:t>
            </w:r>
            <w:r>
              <w:rPr>
                <w:b/>
                <w:color w:val="000000"/>
                <w:sz w:val="24"/>
                <w:szCs w:val="24"/>
                <w:lang w:val="en-MY" w:eastAsia="en-MY"/>
              </w:rPr>
              <w:t>/201</w:t>
            </w:r>
            <w:r w:rsidR="00081D08">
              <w:rPr>
                <w:b/>
                <w:color w:val="000000"/>
                <w:sz w:val="24"/>
                <w:szCs w:val="24"/>
                <w:lang w:val="en-MY" w:eastAsia="en-MY"/>
              </w:rPr>
              <w:t>3</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Income Before Taxation</w:t>
            </w: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tcBorders>
              <w:top w:val="nil"/>
              <w:left w:val="nil"/>
              <w:bottom w:val="nil"/>
              <w:right w:val="nil"/>
            </w:tcBorders>
            <w:shd w:val="clear" w:color="auto" w:fill="auto"/>
            <w:noWrap/>
            <w:vAlign w:val="bottom"/>
            <w:hideMark/>
          </w:tcPr>
          <w:p w:rsidR="00C50F59" w:rsidRPr="0027436C" w:rsidRDefault="00C50F59" w:rsidP="002B1F56">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2B1F56">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081D08">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081D08">
              <w:rPr>
                <w:color w:val="000000"/>
                <w:sz w:val="24"/>
                <w:szCs w:val="24"/>
                <w:lang w:val="en-MY" w:eastAsia="en-MY"/>
              </w:rPr>
              <w:t>120</w:t>
            </w:r>
            <w:r w:rsidR="006E4F31">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Allowance for impairment for receivables</w:t>
            </w:r>
          </w:p>
        </w:tc>
        <w:tc>
          <w:tcPr>
            <w:tcW w:w="2041" w:type="dxa"/>
            <w:tcBorders>
              <w:top w:val="nil"/>
              <w:left w:val="nil"/>
              <w:bottom w:val="nil"/>
              <w:right w:val="nil"/>
            </w:tcBorders>
            <w:shd w:val="clear" w:color="auto" w:fill="auto"/>
            <w:noWrap/>
            <w:vAlign w:val="bottom"/>
            <w:hideMark/>
          </w:tcPr>
          <w:p w:rsidR="00C50F59" w:rsidRPr="0027436C" w:rsidRDefault="00C50F59" w:rsidP="00566312">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566312">
              <w:rPr>
                <w:color w:val="000000"/>
                <w:sz w:val="24"/>
                <w:szCs w:val="24"/>
                <w:lang w:val="en-MY" w:eastAsia="en-MY"/>
              </w:rPr>
              <w:t>971</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B02748">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566312">
              <w:rPr>
                <w:color w:val="000000"/>
                <w:sz w:val="24"/>
                <w:szCs w:val="24"/>
                <w:lang w:val="en-MY" w:eastAsia="en-MY"/>
              </w:rPr>
              <w:t>3,298</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Bad debts written off</w:t>
            </w:r>
          </w:p>
        </w:tc>
        <w:tc>
          <w:tcPr>
            <w:tcW w:w="2041" w:type="dxa"/>
            <w:tcBorders>
              <w:top w:val="nil"/>
              <w:left w:val="nil"/>
              <w:bottom w:val="nil"/>
              <w:right w:val="nil"/>
            </w:tcBorders>
            <w:shd w:val="clear" w:color="auto" w:fill="auto"/>
            <w:noWrap/>
            <w:vAlign w:val="bottom"/>
            <w:hideMark/>
          </w:tcPr>
          <w:p w:rsidR="00C50F59" w:rsidRPr="0027436C" w:rsidRDefault="00C50F59" w:rsidP="006E4F31">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566312">
              <w:rPr>
                <w:color w:val="000000"/>
                <w:sz w:val="24"/>
                <w:szCs w:val="24"/>
                <w:lang w:val="en-MY" w:eastAsia="en-MY"/>
              </w:rPr>
              <w:t>99</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566312">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118</w:t>
            </w:r>
            <w:r w:rsidR="00C50F59" w:rsidRPr="0027436C">
              <w:rPr>
                <w:color w:val="000000"/>
                <w:sz w:val="24"/>
                <w:szCs w:val="24"/>
                <w:lang w:val="en-MY" w:eastAsia="en-MY"/>
              </w:rPr>
              <w:t xml:space="preserve"> </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Bad debts recovery</w:t>
            </w:r>
          </w:p>
        </w:tc>
        <w:tc>
          <w:tcPr>
            <w:tcW w:w="2041" w:type="dxa"/>
            <w:tcBorders>
              <w:top w:val="nil"/>
              <w:left w:val="nil"/>
              <w:bottom w:val="nil"/>
              <w:right w:val="nil"/>
            </w:tcBorders>
            <w:shd w:val="clear" w:color="auto" w:fill="auto"/>
            <w:noWrap/>
            <w:vAlign w:val="bottom"/>
            <w:hideMark/>
          </w:tcPr>
          <w:p w:rsidR="00C50F59" w:rsidRPr="0027436C" w:rsidRDefault="00C50F59" w:rsidP="006E4F31">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6E4F31">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C50F59">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(19</w:t>
            </w:r>
            <w:r w:rsidRPr="0027436C">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tcBorders>
              <w:top w:val="nil"/>
              <w:left w:val="nil"/>
              <w:bottom w:val="nil"/>
              <w:right w:val="nil"/>
            </w:tcBorders>
            <w:shd w:val="clear" w:color="auto" w:fill="auto"/>
            <w:noWrap/>
            <w:vAlign w:val="bottom"/>
            <w:hideMark/>
          </w:tcPr>
          <w:p w:rsidR="00C50F59" w:rsidRPr="0027436C" w:rsidRDefault="00C50F59" w:rsidP="00566312">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566312">
              <w:rPr>
                <w:color w:val="000000"/>
                <w:sz w:val="24"/>
                <w:szCs w:val="24"/>
                <w:lang w:val="en-MY" w:eastAsia="en-MY"/>
              </w:rPr>
              <w:t>4</w:t>
            </w:r>
            <w:r>
              <w:rPr>
                <w:color w:val="000000"/>
                <w:sz w:val="24"/>
                <w:szCs w:val="24"/>
                <w:lang w:val="en-MY" w:eastAsia="en-MY"/>
              </w:rPr>
              <w:t>,</w:t>
            </w:r>
            <w:r w:rsidR="00566312">
              <w:rPr>
                <w:color w:val="000000"/>
                <w:sz w:val="24"/>
                <w:szCs w:val="24"/>
                <w:lang w:val="en-MY" w:eastAsia="en-MY"/>
              </w:rPr>
              <w:t>002</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566312">
              <w:rPr>
                <w:color w:val="000000"/>
                <w:sz w:val="24"/>
                <w:szCs w:val="24"/>
                <w:lang w:val="en-MY" w:eastAsia="en-MY"/>
              </w:rPr>
              <w:t>11,741</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Fair value adjustment to investment properties</w:t>
            </w:r>
          </w:p>
        </w:tc>
        <w:tc>
          <w:tcPr>
            <w:tcW w:w="2041" w:type="dxa"/>
            <w:tcBorders>
              <w:top w:val="nil"/>
              <w:left w:val="nil"/>
              <w:bottom w:val="nil"/>
              <w:right w:val="nil"/>
            </w:tcBorders>
            <w:shd w:val="clear" w:color="auto" w:fill="auto"/>
            <w:noWrap/>
            <w:vAlign w:val="bottom"/>
            <w:hideMark/>
          </w:tcPr>
          <w:p w:rsidR="00C50F59" w:rsidRPr="0027436C" w:rsidRDefault="00C50F59"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6</w:t>
            </w:r>
            <w:r w:rsidR="006E4F31">
              <w:rPr>
                <w:color w:val="000000"/>
                <w:sz w:val="24"/>
                <w:szCs w:val="24"/>
                <w:lang w:val="en-MY" w:eastAsia="en-MY"/>
              </w:rPr>
              <w:t>0</w:t>
            </w:r>
            <w:r>
              <w:rPr>
                <w:color w:val="000000"/>
                <w:sz w:val="24"/>
                <w:szCs w:val="24"/>
                <w:lang w:val="en-MY" w:eastAsia="en-MY"/>
              </w:rPr>
              <w:t xml:space="preserve">             </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826277">
            <w:pPr>
              <w:overflowPunct/>
              <w:autoSpaceDE/>
              <w:autoSpaceDN/>
              <w:adjustRightInd/>
              <w:jc w:val="right"/>
              <w:textAlignment w:val="auto"/>
              <w:rPr>
                <w:color w:val="000000"/>
                <w:sz w:val="24"/>
                <w:szCs w:val="24"/>
                <w:lang w:val="en-MY" w:eastAsia="en-MY"/>
              </w:rPr>
            </w:pPr>
            <w:r>
              <w:rPr>
                <w:color w:val="000000"/>
                <w:sz w:val="24"/>
                <w:szCs w:val="24"/>
                <w:lang w:val="en-MY" w:eastAsia="en-MY"/>
              </w:rPr>
              <w:t>181</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tcBorders>
              <w:top w:val="nil"/>
              <w:left w:val="nil"/>
              <w:bottom w:val="nil"/>
              <w:right w:val="nil"/>
            </w:tcBorders>
            <w:shd w:val="clear" w:color="auto" w:fill="auto"/>
            <w:noWrap/>
            <w:vAlign w:val="bottom"/>
            <w:hideMark/>
          </w:tcPr>
          <w:p w:rsidR="00C50F59" w:rsidRPr="0027436C" w:rsidRDefault="006E4F31"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2</w:t>
            </w:r>
            <w:r w:rsidR="00C50F59">
              <w:rPr>
                <w:color w:val="000000"/>
                <w:sz w:val="24"/>
                <w:szCs w:val="24"/>
                <w:lang w:val="en-MY" w:eastAsia="en-MY"/>
              </w:rPr>
              <w:t>,</w:t>
            </w:r>
            <w:r w:rsidR="00566312">
              <w:rPr>
                <w:color w:val="000000"/>
                <w:sz w:val="24"/>
                <w:szCs w:val="24"/>
                <w:lang w:val="en-MY" w:eastAsia="en-MY"/>
              </w:rPr>
              <w:t>529</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6,635</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9108D8">
            <w:pPr>
              <w:overflowPunct/>
              <w:autoSpaceDE/>
              <w:autoSpaceDN/>
              <w:adjustRightInd/>
              <w:textAlignment w:val="auto"/>
              <w:rPr>
                <w:color w:val="000000"/>
                <w:sz w:val="24"/>
                <w:szCs w:val="24"/>
                <w:lang w:val="en-MY" w:eastAsia="en-MY"/>
              </w:rPr>
            </w:pPr>
            <w:r>
              <w:rPr>
                <w:color w:val="000000"/>
                <w:sz w:val="24"/>
                <w:szCs w:val="24"/>
                <w:lang w:val="en-MY" w:eastAsia="en-MY"/>
              </w:rPr>
              <w:t>Foreign exchange losses</w:t>
            </w:r>
          </w:p>
        </w:tc>
        <w:tc>
          <w:tcPr>
            <w:tcW w:w="2041" w:type="dxa"/>
            <w:tcBorders>
              <w:top w:val="nil"/>
              <w:left w:val="nil"/>
              <w:bottom w:val="nil"/>
              <w:right w:val="nil"/>
            </w:tcBorders>
            <w:shd w:val="clear" w:color="auto" w:fill="auto"/>
            <w:noWrap/>
            <w:vAlign w:val="bottom"/>
            <w:hideMark/>
          </w:tcPr>
          <w:p w:rsidR="00C50F59" w:rsidRPr="0027436C" w:rsidRDefault="00566312" w:rsidP="00C50F59">
            <w:pPr>
              <w:overflowPunct/>
              <w:autoSpaceDE/>
              <w:autoSpaceDN/>
              <w:adjustRightInd/>
              <w:jc w:val="right"/>
              <w:textAlignment w:val="auto"/>
              <w:rPr>
                <w:color w:val="000000"/>
                <w:sz w:val="24"/>
                <w:szCs w:val="24"/>
                <w:lang w:val="en-MY" w:eastAsia="en-MY"/>
              </w:rPr>
            </w:pPr>
            <w:r>
              <w:rPr>
                <w:color w:val="000000"/>
                <w:sz w:val="24"/>
                <w:szCs w:val="24"/>
                <w:lang w:val="en-MY" w:eastAsia="en-MY"/>
              </w:rPr>
              <w:t>63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C50F59">
            <w:pPr>
              <w:overflowPunct/>
              <w:autoSpaceDE/>
              <w:autoSpaceDN/>
              <w:adjustRightInd/>
              <w:jc w:val="right"/>
              <w:textAlignment w:val="auto"/>
              <w:rPr>
                <w:color w:val="000000"/>
                <w:sz w:val="24"/>
                <w:szCs w:val="24"/>
                <w:lang w:val="en-MY" w:eastAsia="en-MY"/>
              </w:rPr>
            </w:pPr>
            <w:r>
              <w:rPr>
                <w:color w:val="000000"/>
                <w:sz w:val="24"/>
                <w:szCs w:val="24"/>
                <w:lang w:val="en-MY" w:eastAsia="en-MY"/>
              </w:rPr>
              <w:t>158</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Reversal of impairment for receivables</w:t>
            </w:r>
          </w:p>
        </w:tc>
        <w:tc>
          <w:tcPr>
            <w:tcW w:w="2041" w:type="dxa"/>
            <w:tcBorders>
              <w:top w:val="nil"/>
              <w:left w:val="nil"/>
              <w:bottom w:val="nil"/>
              <w:right w:val="nil"/>
            </w:tcBorders>
            <w:shd w:val="clear" w:color="auto" w:fill="auto"/>
            <w:noWrap/>
            <w:vAlign w:val="bottom"/>
            <w:hideMark/>
          </w:tcPr>
          <w:p w:rsidR="00C50F59" w:rsidRPr="0027436C" w:rsidRDefault="00566312"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(539)</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B02748">
            <w:pPr>
              <w:overflowPunct/>
              <w:autoSpaceDE/>
              <w:autoSpaceDN/>
              <w:adjustRightInd/>
              <w:jc w:val="right"/>
              <w:textAlignment w:val="auto"/>
              <w:rPr>
                <w:color w:val="000000"/>
                <w:sz w:val="24"/>
                <w:szCs w:val="24"/>
                <w:lang w:val="en-MY" w:eastAsia="en-MY"/>
              </w:rPr>
            </w:pPr>
            <w:r>
              <w:rPr>
                <w:color w:val="000000"/>
                <w:sz w:val="24"/>
                <w:szCs w:val="24"/>
                <w:lang w:val="en-MY" w:eastAsia="en-MY"/>
              </w:rPr>
              <w:t>(2,202)</w:t>
            </w:r>
          </w:p>
        </w:tc>
      </w:tr>
      <w:tr w:rsidR="00C50F59" w:rsidRPr="0027436C" w:rsidTr="00826277">
        <w:trPr>
          <w:trHeight w:val="270"/>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tcBorders>
              <w:top w:val="nil"/>
              <w:left w:val="nil"/>
              <w:bottom w:val="single" w:sz="8" w:space="0" w:color="auto"/>
              <w:right w:val="nil"/>
            </w:tcBorders>
            <w:shd w:val="clear" w:color="auto" w:fill="auto"/>
            <w:noWrap/>
            <w:vAlign w:val="bottom"/>
            <w:hideMark/>
          </w:tcPr>
          <w:p w:rsidR="00C50F59" w:rsidRPr="0027436C" w:rsidRDefault="006E4F31" w:rsidP="00826277">
            <w:pPr>
              <w:overflowPunct/>
              <w:autoSpaceDE/>
              <w:autoSpaceDN/>
              <w:adjustRightInd/>
              <w:jc w:val="right"/>
              <w:textAlignment w:val="auto"/>
              <w:rPr>
                <w:color w:val="000000"/>
                <w:sz w:val="24"/>
                <w:szCs w:val="24"/>
                <w:lang w:val="en-MY" w:eastAsia="en-MY"/>
              </w:rPr>
            </w:pPr>
            <w:r>
              <w:rPr>
                <w:color w:val="000000"/>
                <w:sz w:val="24"/>
                <w:szCs w:val="24"/>
                <w:lang w:val="en-MY" w:eastAsia="en-MY"/>
              </w:rPr>
              <w:t>224</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single" w:sz="8" w:space="0" w:color="auto"/>
              <w:right w:val="nil"/>
            </w:tcBorders>
            <w:shd w:val="clear" w:color="auto" w:fill="auto"/>
            <w:noWrap/>
            <w:vAlign w:val="bottom"/>
            <w:hideMark/>
          </w:tcPr>
          <w:p w:rsidR="00C50F59" w:rsidRPr="0027436C" w:rsidRDefault="00566312" w:rsidP="00B02748">
            <w:pPr>
              <w:overflowPunct/>
              <w:autoSpaceDE/>
              <w:autoSpaceDN/>
              <w:adjustRightInd/>
              <w:jc w:val="right"/>
              <w:textAlignment w:val="auto"/>
              <w:rPr>
                <w:color w:val="000000"/>
                <w:sz w:val="24"/>
                <w:szCs w:val="24"/>
                <w:lang w:val="en-MY" w:eastAsia="en-MY"/>
              </w:rPr>
            </w:pPr>
            <w:r>
              <w:rPr>
                <w:color w:val="000000"/>
                <w:sz w:val="24"/>
                <w:szCs w:val="24"/>
                <w:lang w:val="en-MY" w:eastAsia="en-MY"/>
              </w:rPr>
              <w:t>890</w:t>
            </w:r>
          </w:p>
        </w:tc>
      </w:tr>
    </w:tbl>
    <w:p w:rsidR="00C50F59" w:rsidRDefault="00C50F59"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r w:rsidR="00DD464B">
        <w:rPr>
          <w:b/>
        </w:rPr>
        <w:t>period</w:t>
      </w:r>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t>end</w:t>
      </w:r>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6E4F31">
        <w:rPr>
          <w:b/>
        </w:rPr>
        <w:t>1</w:t>
      </w:r>
      <w:r>
        <w:rPr>
          <w:b/>
        </w:rPr>
        <w:t xml:space="preserve"> </w:t>
      </w:r>
      <w:r w:rsidR="00566312">
        <w:rPr>
          <w:b/>
        </w:rPr>
        <w:t>March</w:t>
      </w:r>
      <w:r>
        <w:rPr>
          <w:b/>
        </w:rPr>
        <w:t xml:space="preserve"> 201</w:t>
      </w:r>
      <w:r w:rsidR="00566312">
        <w:rPr>
          <w:b/>
        </w:rPr>
        <w:t>3</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03075C">
        <w:t>6</w:t>
      </w:r>
      <w:r w:rsidR="00B74537">
        <w:t>,</w:t>
      </w:r>
      <w:r w:rsidR="0003075C">
        <w:t>641</w:t>
      </w:r>
    </w:p>
    <w:p w:rsidR="00325F0B" w:rsidRPr="008C2A25" w:rsidRDefault="0009701A" w:rsidP="00325F0B">
      <w:pPr>
        <w:pStyle w:val="BodyTextIndent2"/>
        <w:tabs>
          <w:tab w:val="decimal" w:pos="6750"/>
          <w:tab w:val="decimal" w:pos="8550"/>
        </w:tabs>
        <w:spacing w:before="0" w:line="260" w:lineRule="exact"/>
        <w:ind w:left="360" w:firstLine="360"/>
        <w:jc w:val="both"/>
      </w:pPr>
      <w:r>
        <w:t>Deferred tax expense</w:t>
      </w:r>
      <w:r>
        <w:tab/>
      </w:r>
      <w:r w:rsidR="00A43AAD">
        <w:tab/>
      </w:r>
      <w:r w:rsidR="0003075C">
        <w:t>295</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03075C">
        <w:t>6</w:t>
      </w:r>
      <w:r w:rsidR="00760FB7">
        <w:t>,</w:t>
      </w:r>
      <w:r w:rsidR="0003075C">
        <w:t>936</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4E7E05" w:rsidRDefault="007A1B7B" w:rsidP="004E7E05">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4E7E05">
        <w:t xml:space="preserve">higher </w:t>
      </w:r>
      <w:r w:rsidR="00BF5656" w:rsidRPr="00A17516">
        <w:t>t</w:t>
      </w:r>
      <w:r w:rsidR="0009701A" w:rsidRPr="00A17516">
        <w:t>han</w:t>
      </w:r>
      <w:r w:rsidR="0009701A">
        <w:t xml:space="preserve"> the statutory tax rate of 25</w:t>
      </w:r>
      <w:r w:rsidR="003D4B28">
        <w:t xml:space="preserve"> per cent principally due to certain expenses</w:t>
      </w:r>
      <w:r w:rsidR="004E7E05">
        <w:t xml:space="preserve"> not allowable for tax purposes and the non-recognition of deferred tax assets on unused tax losses in certain subsidiaries.</w:t>
      </w:r>
    </w:p>
    <w:p w:rsidR="0072262C" w:rsidRDefault="0072262C">
      <w:pPr>
        <w:overflowPunct/>
        <w:autoSpaceDE/>
        <w:autoSpaceDN/>
        <w:adjustRightInd/>
        <w:textAlignment w:val="auto"/>
        <w:rPr>
          <w:sz w:val="24"/>
        </w:rPr>
      </w:pPr>
      <w:r>
        <w:br w:type="page"/>
      </w:r>
    </w:p>
    <w:p w:rsidR="000542ED" w:rsidRPr="007A1B7B" w:rsidRDefault="000542ED" w:rsidP="004E7E05">
      <w:pPr>
        <w:pStyle w:val="BodyTextIndent2"/>
        <w:tabs>
          <w:tab w:val="left" w:pos="5940"/>
          <w:tab w:val="decimal" w:pos="6840"/>
          <w:tab w:val="left" w:pos="7740"/>
          <w:tab w:val="decimal" w:pos="8640"/>
        </w:tabs>
        <w:spacing w:before="240" w:after="60" w:line="260" w:lineRule="exact"/>
        <w:jc w:val="both"/>
      </w:pP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E24968"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760FB7">
        <w:t>period</w:t>
      </w:r>
      <w:r w:rsidR="00FA4952">
        <w:t xml:space="preserve"> ended 3</w:t>
      </w:r>
      <w:r w:rsidR="00B74537">
        <w:t>1</w:t>
      </w:r>
      <w:r w:rsidR="00FA4952">
        <w:t xml:space="preserve"> </w:t>
      </w:r>
      <w:r w:rsidR="0003075C">
        <w:t>March</w:t>
      </w:r>
      <w:r w:rsidR="00F856D1">
        <w:t xml:space="preserve"> 201</w:t>
      </w:r>
      <w:r w:rsidR="0003075C">
        <w:t>3</w:t>
      </w:r>
      <w:r w:rsidR="006F76DB">
        <w:t>.</w:t>
      </w:r>
    </w:p>
    <w:p w:rsidR="000542ED" w:rsidRDefault="000542ED" w:rsidP="00B14905">
      <w:pPr>
        <w:pStyle w:val="BodyTextIndent2"/>
        <w:spacing w:before="80" w:line="260" w:lineRule="exact"/>
        <w:jc w:val="both"/>
      </w:pP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760FB7">
        <w:t>period</w:t>
      </w:r>
      <w:r w:rsidR="00FA4952">
        <w:t xml:space="preserve"> ended </w:t>
      </w:r>
      <w:r w:rsidR="006F76DB">
        <w:t>3</w:t>
      </w:r>
      <w:r w:rsidR="00B74537">
        <w:t>1</w:t>
      </w:r>
      <w:r w:rsidR="006F76DB">
        <w:t xml:space="preserve"> </w:t>
      </w:r>
      <w:r w:rsidR="0003075C">
        <w:t>March</w:t>
      </w:r>
      <w:r w:rsidR="006F76DB">
        <w:t xml:space="preserve"> 201</w:t>
      </w:r>
      <w:r w:rsidR="0003075C">
        <w:t>3</w:t>
      </w:r>
      <w:r w:rsidR="006F76DB">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Pr="00F130A2" w:rsidRDefault="00F856D1" w:rsidP="00F856D1">
      <w:pPr>
        <w:pStyle w:val="BodyTextIndent2"/>
        <w:jc w:val="both"/>
      </w:pPr>
      <w:r>
        <w:t>There were</w:t>
      </w:r>
      <w:r w:rsidRPr="002866A5">
        <w:t xml:space="preserve"> no</w:t>
      </w:r>
      <w:r>
        <w:t xml:space="preserve"> pending corporate proposals up to </w:t>
      </w:r>
      <w:r w:rsidR="00B74537">
        <w:t>1</w:t>
      </w:r>
      <w:r w:rsidR="0003075C">
        <w:t>5</w:t>
      </w:r>
      <w:r w:rsidRPr="002866A5">
        <w:t xml:space="preserve"> </w:t>
      </w:r>
      <w:r w:rsidR="0003075C">
        <w:t>May</w:t>
      </w:r>
      <w:r w:rsidR="005A3631">
        <w:t xml:space="preserve"> </w:t>
      </w:r>
      <w:r w:rsidRPr="002866A5">
        <w:t>20</w:t>
      </w:r>
      <w:r>
        <w:t>1</w:t>
      </w:r>
      <w:r w:rsidR="00A4592B">
        <w:t>3</w:t>
      </w:r>
      <w:r w:rsidRPr="002866A5">
        <w:t>, being the date not earlier than 7 days from the date of this announcement</w:t>
      </w:r>
      <w:r>
        <w:t>.</w:t>
      </w: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3</w:t>
      </w:r>
      <w:r w:rsidR="00B74537">
        <w:t>1</w:t>
      </w:r>
      <w:r w:rsidR="00B75AAC">
        <w:t xml:space="preserve"> </w:t>
      </w:r>
      <w:r w:rsidR="0003075C">
        <w:t>March</w:t>
      </w:r>
      <w:r w:rsidR="006F76DB">
        <w:t xml:space="preserve"> 201</w:t>
      </w:r>
      <w:r w:rsidR="0003075C">
        <w:t>3</w:t>
      </w:r>
      <w:r>
        <w:t xml:space="preserve"> 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Pr>
                <w:sz w:val="24"/>
                <w:szCs w:val="24"/>
                <w:lang w:val="en-MY" w:eastAsia="en-MY"/>
              </w:rPr>
              <w:t xml:space="preserve">         </w:t>
            </w:r>
            <w:r w:rsidRPr="000B12D2">
              <w:rPr>
                <w:sz w:val="24"/>
                <w:szCs w:val="24"/>
                <w:lang w:val="en-MY" w:eastAsia="en-MY"/>
              </w:rPr>
              <w:t>1</w:t>
            </w:r>
            <w:r w:rsidR="00A4592B">
              <w:rPr>
                <w:sz w:val="24"/>
                <w:szCs w:val="24"/>
                <w:lang w:val="en-MY" w:eastAsia="en-MY"/>
              </w:rPr>
              <w:t>1</w:t>
            </w:r>
            <w:r w:rsidRPr="000B12D2">
              <w:rPr>
                <w:sz w:val="24"/>
                <w:szCs w:val="24"/>
                <w:lang w:val="en-MY" w:eastAsia="en-MY"/>
              </w:rPr>
              <w:t>,</w:t>
            </w:r>
            <w:r w:rsidR="0003075C">
              <w:rPr>
                <w:sz w:val="24"/>
                <w:szCs w:val="24"/>
                <w:lang w:val="en-MY" w:eastAsia="en-MY"/>
              </w:rPr>
              <w:t>428</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3075C" w:rsidP="0003075C">
            <w:pPr>
              <w:overflowPunct/>
              <w:autoSpaceDE/>
              <w:autoSpaceDN/>
              <w:adjustRightInd/>
              <w:jc w:val="right"/>
              <w:textAlignment w:val="auto"/>
              <w:rPr>
                <w:sz w:val="24"/>
                <w:szCs w:val="24"/>
                <w:lang w:val="en-MY" w:eastAsia="en-MY"/>
              </w:rPr>
            </w:pPr>
            <w:r>
              <w:rPr>
                <w:sz w:val="24"/>
                <w:szCs w:val="24"/>
                <w:lang w:val="en-MY" w:eastAsia="en-MY"/>
              </w:rPr>
              <w:t>58</w:t>
            </w:r>
            <w:r w:rsidR="000B12D2" w:rsidRPr="000B12D2">
              <w:rPr>
                <w:sz w:val="24"/>
                <w:szCs w:val="24"/>
                <w:lang w:val="en-MY" w:eastAsia="en-MY"/>
              </w:rPr>
              <w:t>,</w:t>
            </w:r>
            <w:r>
              <w:rPr>
                <w:sz w:val="24"/>
                <w:szCs w:val="24"/>
                <w:lang w:val="en-MY" w:eastAsia="en-MY"/>
              </w:rPr>
              <w:t>007</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03075C" w:rsidP="0003075C">
            <w:pPr>
              <w:overflowPunct/>
              <w:autoSpaceDE/>
              <w:autoSpaceDN/>
              <w:adjustRightInd/>
              <w:jc w:val="right"/>
              <w:textAlignment w:val="auto"/>
              <w:rPr>
                <w:sz w:val="24"/>
                <w:szCs w:val="24"/>
                <w:lang w:val="en-MY" w:eastAsia="en-MY"/>
              </w:rPr>
            </w:pPr>
            <w:r>
              <w:rPr>
                <w:sz w:val="24"/>
                <w:szCs w:val="24"/>
                <w:lang w:val="en-MY" w:eastAsia="en-MY"/>
              </w:rPr>
              <w:t>69</w:t>
            </w:r>
            <w:r w:rsidR="000B12D2" w:rsidRPr="000B12D2">
              <w:rPr>
                <w:sz w:val="24"/>
                <w:szCs w:val="24"/>
                <w:lang w:val="en-MY" w:eastAsia="en-MY"/>
              </w:rPr>
              <w:t>,</w:t>
            </w:r>
            <w:r>
              <w:rPr>
                <w:sz w:val="24"/>
                <w:szCs w:val="24"/>
                <w:lang w:val="en-MY" w:eastAsia="en-MY"/>
              </w:rPr>
              <w:t>435</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03075C">
              <w:rPr>
                <w:sz w:val="24"/>
                <w:szCs w:val="24"/>
                <w:lang w:val="en-MY" w:eastAsia="en-MY"/>
              </w:rPr>
              <w:t>8</w:t>
            </w:r>
            <w:r w:rsidRPr="000B12D2">
              <w:rPr>
                <w:sz w:val="24"/>
                <w:szCs w:val="24"/>
                <w:lang w:val="en-MY" w:eastAsia="en-MY"/>
              </w:rPr>
              <w:t>,</w:t>
            </w:r>
            <w:r w:rsidR="0003075C">
              <w:rPr>
                <w:sz w:val="24"/>
                <w:szCs w:val="24"/>
                <w:lang w:val="en-MY" w:eastAsia="en-MY"/>
              </w:rPr>
              <w:t>179</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03075C">
              <w:rPr>
                <w:sz w:val="24"/>
                <w:szCs w:val="24"/>
                <w:lang w:val="en-MY" w:eastAsia="en-MY"/>
              </w:rPr>
              <w:t>8</w:t>
            </w:r>
            <w:r w:rsidRPr="000B12D2">
              <w:rPr>
                <w:sz w:val="24"/>
                <w:szCs w:val="24"/>
                <w:lang w:val="en-MY" w:eastAsia="en-MY"/>
              </w:rPr>
              <w:t>,</w:t>
            </w:r>
            <w:r w:rsidR="0003075C">
              <w:rPr>
                <w:sz w:val="24"/>
                <w:szCs w:val="24"/>
                <w:lang w:val="en-MY" w:eastAsia="en-MY"/>
              </w:rPr>
              <w:t>179</w:t>
            </w:r>
            <w:r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1</w:t>
            </w:r>
            <w:r w:rsidR="00A4592B">
              <w:rPr>
                <w:sz w:val="24"/>
                <w:szCs w:val="24"/>
                <w:lang w:val="en-MY" w:eastAsia="en-MY"/>
              </w:rPr>
              <w:t>3</w:t>
            </w:r>
            <w:r w:rsidRPr="000B12D2">
              <w:rPr>
                <w:sz w:val="24"/>
                <w:szCs w:val="24"/>
                <w:lang w:val="en-MY" w:eastAsia="en-MY"/>
              </w:rPr>
              <w:t>,</w:t>
            </w:r>
            <w:r w:rsidR="0003075C">
              <w:rPr>
                <w:sz w:val="24"/>
                <w:szCs w:val="24"/>
                <w:lang w:val="en-MY" w:eastAsia="en-MY"/>
              </w:rPr>
              <w:t>516</w:t>
            </w:r>
            <w:r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2</w:t>
            </w:r>
            <w:r w:rsidR="0003075C">
              <w:rPr>
                <w:sz w:val="24"/>
                <w:szCs w:val="24"/>
                <w:lang w:val="en-MY" w:eastAsia="en-MY"/>
              </w:rPr>
              <w:t>1</w:t>
            </w:r>
            <w:r w:rsidRPr="000B12D2">
              <w:rPr>
                <w:sz w:val="24"/>
                <w:szCs w:val="24"/>
                <w:lang w:val="en-MY" w:eastAsia="en-MY"/>
              </w:rPr>
              <w:t>,</w:t>
            </w:r>
            <w:r w:rsidR="0003075C">
              <w:rPr>
                <w:sz w:val="24"/>
                <w:szCs w:val="24"/>
                <w:lang w:val="en-MY" w:eastAsia="en-MY"/>
              </w:rPr>
              <w:t>410</w:t>
            </w:r>
            <w:r w:rsidRPr="000B12D2">
              <w:rPr>
                <w:sz w:val="24"/>
                <w:szCs w:val="24"/>
                <w:lang w:val="en-MY" w:eastAsia="en-MY"/>
              </w:rPr>
              <w:t xml:space="preserve"> </w:t>
            </w:r>
          </w:p>
        </w:tc>
        <w:tc>
          <w:tcPr>
            <w:tcW w:w="1341" w:type="dxa"/>
            <w:tcBorders>
              <w:top w:val="nil"/>
              <w:left w:val="nil"/>
              <w:bottom w:val="single" w:sz="4" w:space="0" w:color="auto"/>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3</w:t>
            </w:r>
            <w:r w:rsidR="0003075C">
              <w:rPr>
                <w:sz w:val="24"/>
                <w:szCs w:val="24"/>
                <w:lang w:val="en-MY" w:eastAsia="en-MY"/>
              </w:rPr>
              <w:t>4</w:t>
            </w:r>
            <w:r w:rsidRPr="000B12D2">
              <w:rPr>
                <w:sz w:val="24"/>
                <w:szCs w:val="24"/>
                <w:lang w:val="en-MY" w:eastAsia="en-MY"/>
              </w:rPr>
              <w:t>,</w:t>
            </w:r>
            <w:r w:rsidR="0003075C">
              <w:rPr>
                <w:sz w:val="24"/>
                <w:szCs w:val="24"/>
                <w:lang w:val="en-MY" w:eastAsia="en-MY"/>
              </w:rPr>
              <w:t>926</w:t>
            </w:r>
            <w:r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A4592B">
              <w:rPr>
                <w:sz w:val="24"/>
                <w:szCs w:val="24"/>
                <w:lang w:val="en-MY" w:eastAsia="en-MY"/>
              </w:rPr>
              <w:t>3</w:t>
            </w:r>
            <w:r w:rsidR="0003075C">
              <w:rPr>
                <w:sz w:val="24"/>
                <w:szCs w:val="24"/>
                <w:lang w:val="en-MY" w:eastAsia="en-MY"/>
              </w:rPr>
              <w:t>3</w:t>
            </w:r>
            <w:r w:rsidR="006133B2">
              <w:rPr>
                <w:sz w:val="24"/>
                <w:szCs w:val="24"/>
                <w:lang w:val="en-MY" w:eastAsia="en-MY"/>
              </w:rPr>
              <w:t>,</w:t>
            </w:r>
            <w:r w:rsidR="0003075C">
              <w:rPr>
                <w:sz w:val="24"/>
                <w:szCs w:val="24"/>
                <w:lang w:val="en-MY" w:eastAsia="en-MY"/>
              </w:rPr>
              <w:t>123</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3075C" w:rsidP="0003075C">
            <w:pPr>
              <w:overflowPunct/>
              <w:autoSpaceDE/>
              <w:autoSpaceDN/>
              <w:adjustRightInd/>
              <w:jc w:val="right"/>
              <w:textAlignment w:val="auto"/>
              <w:rPr>
                <w:sz w:val="24"/>
                <w:szCs w:val="24"/>
                <w:lang w:val="en-MY" w:eastAsia="en-MY"/>
              </w:rPr>
            </w:pPr>
            <w:r>
              <w:rPr>
                <w:sz w:val="24"/>
                <w:szCs w:val="24"/>
                <w:lang w:val="en-MY" w:eastAsia="en-MY"/>
              </w:rPr>
              <w:t xml:space="preserve">         79</w:t>
            </w:r>
            <w:r w:rsidR="000B12D2" w:rsidRPr="000B12D2">
              <w:rPr>
                <w:sz w:val="24"/>
                <w:szCs w:val="24"/>
                <w:lang w:val="en-MY" w:eastAsia="en-MY"/>
              </w:rPr>
              <w:t>,</w:t>
            </w:r>
            <w:r>
              <w:rPr>
                <w:sz w:val="24"/>
                <w:szCs w:val="24"/>
                <w:lang w:val="en-MY" w:eastAsia="en-MY"/>
              </w:rPr>
              <w:t>417</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1</w:t>
            </w:r>
            <w:r w:rsidR="0003075C">
              <w:rPr>
                <w:sz w:val="24"/>
                <w:szCs w:val="24"/>
                <w:lang w:val="en-MY" w:eastAsia="en-MY"/>
              </w:rPr>
              <w:t>12</w:t>
            </w:r>
            <w:r w:rsidRPr="000B12D2">
              <w:rPr>
                <w:sz w:val="24"/>
                <w:szCs w:val="24"/>
                <w:lang w:val="en-MY" w:eastAsia="en-MY"/>
              </w:rPr>
              <w:t>,</w:t>
            </w:r>
            <w:r w:rsidR="0003075C">
              <w:rPr>
                <w:sz w:val="24"/>
                <w:szCs w:val="24"/>
                <w:lang w:val="en-MY" w:eastAsia="en-MY"/>
              </w:rPr>
              <w:t>540</w:t>
            </w:r>
            <w:r w:rsidRPr="000B12D2">
              <w:rPr>
                <w:sz w:val="24"/>
                <w:szCs w:val="24"/>
                <w:lang w:val="en-MY" w:eastAsia="en-MY"/>
              </w:rPr>
              <w:t xml:space="preserve"> </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textAlignment w:val="auto"/>
              <w:rPr>
                <w:sz w:val="24"/>
                <w:szCs w:val="24"/>
                <w:lang w:val="en-MY" w:eastAsia="en-MY"/>
              </w:rPr>
            </w:pPr>
            <w:r w:rsidRPr="000B12D2">
              <w:rPr>
                <w:sz w:val="24"/>
                <w:szCs w:val="24"/>
                <w:lang w:val="en-MY" w:eastAsia="en-MY"/>
              </w:rPr>
              <w:t xml:space="preserve">         </w:t>
            </w:r>
            <w:r w:rsidR="0003075C">
              <w:rPr>
                <w:sz w:val="24"/>
                <w:szCs w:val="24"/>
                <w:lang w:val="en-MY" w:eastAsia="en-MY"/>
              </w:rPr>
              <w:t>25</w:t>
            </w:r>
            <w:r w:rsidR="00A4592B">
              <w:rPr>
                <w:sz w:val="24"/>
                <w:szCs w:val="24"/>
                <w:lang w:val="en-MY" w:eastAsia="en-MY"/>
              </w:rPr>
              <w:t>,</w:t>
            </w:r>
            <w:r w:rsidR="0003075C">
              <w:rPr>
                <w:sz w:val="24"/>
                <w:szCs w:val="24"/>
                <w:lang w:val="en-MY" w:eastAsia="en-MY"/>
              </w:rPr>
              <w:t>269</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03075C">
              <w:rPr>
                <w:sz w:val="24"/>
                <w:szCs w:val="24"/>
                <w:lang w:val="en-MY" w:eastAsia="en-MY"/>
              </w:rPr>
              <w:t>25</w:t>
            </w:r>
            <w:r w:rsidRPr="000B12D2">
              <w:rPr>
                <w:sz w:val="24"/>
                <w:szCs w:val="24"/>
                <w:lang w:val="en-MY" w:eastAsia="en-MY"/>
              </w:rPr>
              <w:t>,</w:t>
            </w:r>
            <w:r w:rsidR="0003075C">
              <w:rPr>
                <w:sz w:val="24"/>
                <w:szCs w:val="24"/>
                <w:lang w:val="en-MY" w:eastAsia="en-MY"/>
              </w:rPr>
              <w:t>269</w:t>
            </w:r>
            <w:r w:rsidRPr="000B12D2">
              <w:rPr>
                <w:sz w:val="24"/>
                <w:szCs w:val="24"/>
                <w:lang w:val="en-MY" w:eastAsia="en-MY"/>
              </w:rPr>
              <w:t xml:space="preserve"> </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A4592B" w:rsidP="0003075C">
            <w:pPr>
              <w:overflowPunct/>
              <w:autoSpaceDE/>
              <w:autoSpaceDN/>
              <w:adjustRightInd/>
              <w:jc w:val="right"/>
              <w:textAlignment w:val="auto"/>
              <w:rPr>
                <w:sz w:val="24"/>
                <w:szCs w:val="24"/>
                <w:lang w:val="en-MY" w:eastAsia="en-MY"/>
              </w:rPr>
            </w:pPr>
            <w:r>
              <w:rPr>
                <w:sz w:val="24"/>
                <w:szCs w:val="24"/>
                <w:lang w:val="en-MY" w:eastAsia="en-MY"/>
              </w:rPr>
              <w:t xml:space="preserve">         </w:t>
            </w:r>
            <w:r w:rsidR="0003075C">
              <w:rPr>
                <w:sz w:val="24"/>
                <w:szCs w:val="24"/>
                <w:lang w:val="en-MY" w:eastAsia="en-MY"/>
              </w:rPr>
              <w:t>58</w:t>
            </w:r>
            <w:r w:rsidR="000B12D2" w:rsidRPr="000B12D2">
              <w:rPr>
                <w:sz w:val="24"/>
                <w:szCs w:val="24"/>
                <w:lang w:val="en-MY" w:eastAsia="en-MY"/>
              </w:rPr>
              <w:t>,</w:t>
            </w:r>
            <w:r w:rsidR="0003075C">
              <w:rPr>
                <w:sz w:val="24"/>
                <w:szCs w:val="24"/>
                <w:lang w:val="en-MY" w:eastAsia="en-MY"/>
              </w:rPr>
              <w:t>392</w:t>
            </w:r>
            <w:r w:rsidR="000B12D2" w:rsidRPr="000B12D2">
              <w:rPr>
                <w:sz w:val="24"/>
                <w:szCs w:val="24"/>
                <w:lang w:val="en-MY" w:eastAsia="en-MY"/>
              </w:rPr>
              <w:t xml:space="preserve"> </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03075C">
              <w:rPr>
                <w:sz w:val="24"/>
                <w:szCs w:val="24"/>
                <w:lang w:val="en-MY" w:eastAsia="en-MY"/>
              </w:rPr>
              <w:t>79</w:t>
            </w:r>
            <w:r w:rsidRPr="000B12D2">
              <w:rPr>
                <w:sz w:val="24"/>
                <w:szCs w:val="24"/>
                <w:lang w:val="en-MY" w:eastAsia="en-MY"/>
              </w:rPr>
              <w:t>,</w:t>
            </w:r>
            <w:r w:rsidR="0003075C">
              <w:rPr>
                <w:sz w:val="24"/>
                <w:szCs w:val="24"/>
                <w:lang w:val="en-MY" w:eastAsia="en-MY"/>
              </w:rPr>
              <w:t>417</w:t>
            </w:r>
            <w:r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0B12D2" w:rsidP="0003075C">
            <w:pPr>
              <w:overflowPunct/>
              <w:autoSpaceDE/>
              <w:autoSpaceDN/>
              <w:adjustRightInd/>
              <w:jc w:val="right"/>
              <w:textAlignment w:val="auto"/>
              <w:rPr>
                <w:sz w:val="24"/>
                <w:szCs w:val="24"/>
                <w:lang w:val="en-MY" w:eastAsia="en-MY"/>
              </w:rPr>
            </w:pPr>
            <w:r w:rsidRPr="000B12D2">
              <w:rPr>
                <w:sz w:val="24"/>
                <w:szCs w:val="24"/>
                <w:lang w:val="en-MY" w:eastAsia="en-MY"/>
              </w:rPr>
              <w:t xml:space="preserve"> 1</w:t>
            </w:r>
            <w:r w:rsidR="0003075C">
              <w:rPr>
                <w:sz w:val="24"/>
                <w:szCs w:val="24"/>
                <w:lang w:val="en-MY" w:eastAsia="en-MY"/>
              </w:rPr>
              <w:t>37</w:t>
            </w:r>
            <w:r w:rsidR="006133B2">
              <w:rPr>
                <w:sz w:val="24"/>
                <w:szCs w:val="24"/>
                <w:lang w:val="en-MY" w:eastAsia="en-MY"/>
              </w:rPr>
              <w:t>,</w:t>
            </w:r>
            <w:r w:rsidR="0003075C">
              <w:rPr>
                <w:sz w:val="24"/>
                <w:szCs w:val="24"/>
                <w:lang w:val="en-MY" w:eastAsia="en-MY"/>
              </w:rPr>
              <w:t>809</w:t>
            </w:r>
            <w:r w:rsidRPr="000B12D2">
              <w:rPr>
                <w:sz w:val="24"/>
                <w:szCs w:val="24"/>
                <w:lang w:val="en-MY" w:eastAsia="en-MY"/>
              </w:rPr>
              <w:t xml:space="preserve"> </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period to-date, the Group did not enter into any contracts involving off balance sheet financial instruments.  There are no financial instruments with </w:t>
      </w:r>
      <w:r w:rsidR="00C97F7A">
        <w:t xml:space="preserve">off balance sheet risks as at </w:t>
      </w:r>
      <w:r w:rsidR="00A4592B">
        <w:t>1</w:t>
      </w:r>
      <w:r w:rsidR="00591C14">
        <w:t>5</w:t>
      </w:r>
      <w:r w:rsidR="00A4592B">
        <w:t xml:space="preserve"> </w:t>
      </w:r>
      <w:r w:rsidR="0003075C">
        <w:t>May</w:t>
      </w:r>
      <w:r w:rsidR="00387DC9">
        <w:t xml:space="preserve"> </w:t>
      </w:r>
      <w:r w:rsidR="00711884">
        <w:t>20</w:t>
      </w:r>
      <w:r w:rsidR="00187D55">
        <w:t>1</w:t>
      </w:r>
      <w:r w:rsidR="00A4592B">
        <w:t>3</w:t>
      </w:r>
      <w:r>
        <w:t>, being the date not earlier than 7 days from the date of this announcement.</w:t>
      </w:r>
    </w:p>
    <w:p w:rsidR="006133B2" w:rsidRDefault="006133B2">
      <w:pPr>
        <w:overflowPunct/>
        <w:autoSpaceDE/>
        <w:autoSpaceDN/>
        <w:adjustRightInd/>
        <w:textAlignment w:val="auto"/>
        <w:rPr>
          <w:b/>
          <w:i/>
          <w:sz w:val="28"/>
        </w:rPr>
      </w:pPr>
      <w:r>
        <w:br w:type="page"/>
      </w:r>
    </w:p>
    <w:p w:rsidR="00E24968" w:rsidRDefault="00E24968" w:rsidP="00A64C64">
      <w:pPr>
        <w:pStyle w:val="Heading2"/>
      </w:pPr>
      <w:r>
        <w:t>B1</w:t>
      </w:r>
      <w:r w:rsidR="0072262C">
        <w:t>2</w:t>
      </w:r>
      <w:r>
        <w:t>.</w:t>
      </w:r>
      <w:r>
        <w:tab/>
        <w:t>Changes in Material Litigation</w:t>
      </w:r>
    </w:p>
    <w:p w:rsidR="00E24968" w:rsidRDefault="00E24968" w:rsidP="00711884">
      <w:pPr>
        <w:pStyle w:val="BodyTextIndent2"/>
        <w:spacing w:line="260" w:lineRule="exact"/>
        <w:jc w:val="both"/>
      </w:pPr>
      <w:r>
        <w:t xml:space="preserve">There are no changes in material litigation since the last annual balance sheet date till </w:t>
      </w:r>
      <w:r w:rsidR="00A4592B">
        <w:t>1</w:t>
      </w:r>
      <w:r w:rsidR="00591C14">
        <w:t>5</w:t>
      </w:r>
      <w:r w:rsidR="0003075C">
        <w:t xml:space="preserve"> May</w:t>
      </w:r>
      <w:r w:rsidR="001824AE">
        <w:t xml:space="preserve"> </w:t>
      </w:r>
      <w:r w:rsidR="00711884">
        <w:t>20</w:t>
      </w:r>
      <w:r w:rsidR="00187D55">
        <w:t>1</w:t>
      </w:r>
      <w:r w:rsidR="00A4592B">
        <w:t>3</w:t>
      </w:r>
      <w:r w:rsidR="001A7747">
        <w:t xml:space="preserve"> </w:t>
      </w:r>
      <w:r>
        <w:t>being the date not earlier than 7 days from the date of this announcement.</w:t>
      </w:r>
    </w:p>
    <w:p w:rsidR="00E24968" w:rsidRDefault="00E24968" w:rsidP="00A64C64">
      <w:pPr>
        <w:pStyle w:val="Heading2"/>
      </w:pPr>
      <w:r>
        <w:t>B1</w:t>
      </w:r>
      <w:r w:rsidR="0072262C">
        <w:t>3</w:t>
      </w:r>
      <w:r>
        <w:t>.</w:t>
      </w:r>
      <w:r>
        <w:tab/>
        <w:t>Dividend</w:t>
      </w:r>
    </w:p>
    <w:p w:rsidR="009A681C" w:rsidRDefault="001824AE" w:rsidP="009A681C">
      <w:pPr>
        <w:pStyle w:val="BodyTextIndent2"/>
        <w:spacing w:line="260" w:lineRule="exact"/>
        <w:jc w:val="both"/>
      </w:pPr>
      <w:r w:rsidRPr="00C97F7A">
        <w:t>No dividend</w:t>
      </w:r>
      <w:r>
        <w:t xml:space="preserve"> was declared for the current quarter and financia</w:t>
      </w:r>
      <w:r w:rsidR="006133B2">
        <w:t>l period ended 3</w:t>
      </w:r>
      <w:r w:rsidR="00A4592B">
        <w:t>1</w:t>
      </w:r>
      <w:r w:rsidR="006133B2">
        <w:t xml:space="preserve"> </w:t>
      </w:r>
      <w:r w:rsidR="00591C14">
        <w:t>March</w:t>
      </w:r>
      <w:r w:rsidR="006133B2">
        <w:t xml:space="preserve"> 201</w:t>
      </w:r>
      <w:r w:rsidR="0003075C">
        <w:t>3</w:t>
      </w:r>
      <w:r>
        <w:t>.</w:t>
      </w: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The basic earnings per share for the current quarter and financial period ended 3</w:t>
      </w:r>
      <w:r w:rsidR="00A4592B">
        <w:t>1</w:t>
      </w:r>
      <w:r>
        <w:t xml:space="preserve"> </w:t>
      </w:r>
      <w:r w:rsidR="0003075C">
        <w:t>M</w:t>
      </w:r>
      <w:r w:rsidR="00591C14">
        <w:t>arch</w:t>
      </w:r>
      <w:r>
        <w:t xml:space="preserve"> 201</w:t>
      </w:r>
      <w:r w:rsidR="0003075C">
        <w:t>3</w:t>
      </w:r>
      <w:r>
        <w:t xml:space="preserve"> is calculated by dividing the Group’s profit for the period, net of tax, attributable to owner of the parent for the current quarter and financial period</w:t>
      </w:r>
      <w:r w:rsidRPr="008B2C06">
        <w:t xml:space="preserve"> of </w:t>
      </w:r>
      <w:r>
        <w:t>RM</w:t>
      </w:r>
      <w:r w:rsidR="0003075C">
        <w:t>5</w:t>
      </w:r>
      <w:r>
        <w:t>,</w:t>
      </w:r>
      <w:r w:rsidR="0003075C">
        <w:t>466</w:t>
      </w:r>
      <w:r>
        <w:t>,000 and RM</w:t>
      </w:r>
      <w:r w:rsidR="00A4592B">
        <w:t>1</w:t>
      </w:r>
      <w:r w:rsidR="0003075C">
        <w:t>8</w:t>
      </w:r>
      <w:r>
        <w:t>,</w:t>
      </w:r>
      <w:r w:rsidR="0003075C">
        <w:t>970</w:t>
      </w:r>
      <w:r>
        <w:t xml:space="preserve">,000 respectively by the number of ordinary shares </w:t>
      </w:r>
      <w:r w:rsidR="009108D8">
        <w:t>in issue</w:t>
      </w:r>
      <w:r>
        <w:t xml:space="preserve"> during the current quarter and financial period ended 3</w:t>
      </w:r>
      <w:r w:rsidR="00A4592B">
        <w:t>1</w:t>
      </w:r>
      <w:r>
        <w:t xml:space="preserve"> </w:t>
      </w:r>
      <w:r w:rsidR="0003075C">
        <w:t>March</w:t>
      </w:r>
      <w:r>
        <w:t xml:space="preserve"> 201</w:t>
      </w:r>
      <w:r w:rsidR="0003075C">
        <w:t>3</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44669B">
        <w:rPr>
          <w:b/>
        </w:rPr>
        <w:t>period</w:t>
      </w:r>
      <w:r w:rsidR="000542ED">
        <w:rPr>
          <w:b/>
        </w:rPr>
        <w:t xml:space="preserve"> end</w:t>
      </w:r>
      <w:r w:rsidR="00EA1A77">
        <w:rPr>
          <w:b/>
        </w:rPr>
        <w:t>s</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A4592B">
        <w:rPr>
          <w:b/>
        </w:rPr>
        <w:t>1</w:t>
      </w:r>
      <w:r>
        <w:rPr>
          <w:b/>
        </w:rPr>
        <w:t xml:space="preserve"> </w:t>
      </w:r>
      <w:r w:rsidR="0003075C">
        <w:rPr>
          <w:b/>
        </w:rPr>
        <w:t>March</w:t>
      </w:r>
      <w:r w:rsidR="00A4592B">
        <w:rPr>
          <w:b/>
        </w:rPr>
        <w:t xml:space="preserve"> </w:t>
      </w:r>
      <w:r>
        <w:rPr>
          <w:b/>
        </w:rPr>
        <w:t>201</w:t>
      </w:r>
      <w:r w:rsidR="0003075C">
        <w:rPr>
          <w:b/>
        </w:rPr>
        <w:t>3</w:t>
      </w:r>
      <w:r w:rsidRPr="008C2A25">
        <w:rPr>
          <w:b/>
        </w:rPr>
        <w:tab/>
      </w:r>
      <w:r w:rsidR="000226E4">
        <w:rPr>
          <w:b/>
        </w:rPr>
        <w:t>3</w:t>
      </w:r>
      <w:r w:rsidR="00A4592B">
        <w:rPr>
          <w:b/>
        </w:rPr>
        <w:t>1</w:t>
      </w:r>
      <w:r w:rsidR="000D6D33">
        <w:rPr>
          <w:b/>
        </w:rPr>
        <w:t xml:space="preserve"> </w:t>
      </w:r>
      <w:r w:rsidR="0003075C">
        <w:rPr>
          <w:b/>
        </w:rPr>
        <w:t>March</w:t>
      </w:r>
      <w:r w:rsidR="000D6D33">
        <w:rPr>
          <w:b/>
        </w:rPr>
        <w:t xml:space="preserve"> </w:t>
      </w:r>
      <w:r w:rsidR="000226E4">
        <w:rPr>
          <w:b/>
        </w:rPr>
        <w:t>201</w:t>
      </w:r>
      <w:r w:rsidR="0003075C">
        <w:rPr>
          <w:b/>
        </w:rPr>
        <w:t>3</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 of </w:t>
      </w:r>
      <w:r w:rsidRPr="00370B34">
        <w:rPr>
          <w:color w:val="000000"/>
          <w:szCs w:val="24"/>
        </w:rPr>
        <w:t>the parent</w:t>
      </w:r>
      <w:r>
        <w:rPr>
          <w:color w:val="000000"/>
          <w:szCs w:val="24"/>
        </w:rPr>
        <w:t xml:space="preserve"> (in RM)</w:t>
      </w:r>
      <w:r>
        <w:tab/>
      </w:r>
      <w:r w:rsidR="0003075C">
        <w:t>5</w:t>
      </w:r>
      <w:r w:rsidR="000D6D33">
        <w:t>,</w:t>
      </w:r>
      <w:r w:rsidR="0003075C">
        <w:t>466</w:t>
      </w:r>
      <w:r>
        <w:t>,000</w:t>
      </w:r>
      <w:r w:rsidRPr="007A756D">
        <w:tab/>
      </w:r>
      <w:r w:rsidR="0036479D">
        <w:t>1</w:t>
      </w:r>
      <w:r w:rsidR="0003075C">
        <w:t>8</w:t>
      </w:r>
      <w:r w:rsidR="000226E4">
        <w:t>,</w:t>
      </w:r>
      <w:r w:rsidR="0003075C">
        <w:t>970</w:t>
      </w:r>
      <w:r>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(sen)</w:t>
      </w:r>
      <w:r>
        <w:tab/>
      </w:r>
      <w:r w:rsidR="00C717DB">
        <w:t>3</w:t>
      </w:r>
      <w:r>
        <w:t>.</w:t>
      </w:r>
      <w:r w:rsidR="0003075C">
        <w:t>00</w:t>
      </w:r>
      <w:r>
        <w:tab/>
      </w:r>
      <w:r w:rsidR="0003075C">
        <w:t>10</w:t>
      </w:r>
      <w:r>
        <w:t>.</w:t>
      </w:r>
      <w:r w:rsidR="0036479D">
        <w:t>42</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1F5880" w:rsidRDefault="001F5880">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36479D">
        <w:t>1</w:t>
      </w:r>
      <w:r w:rsidR="00BB136A">
        <w:t xml:space="preserve"> </w:t>
      </w:r>
      <w:r w:rsidR="0003075C">
        <w:t>March</w:t>
      </w:r>
      <w:r w:rsidR="006A73C1">
        <w:t xml:space="preserve"> 20</w:t>
      </w:r>
      <w:r w:rsidR="007334DD">
        <w:t>1</w:t>
      </w:r>
      <w:r w:rsidR="0003075C">
        <w:t>3</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36479D">
        <w:rPr>
          <w:b/>
        </w:rPr>
        <w:t>1</w:t>
      </w:r>
      <w:r>
        <w:rPr>
          <w:b/>
        </w:rPr>
        <w:t xml:space="preserve"> </w:t>
      </w:r>
      <w:r w:rsidR="0003075C">
        <w:rPr>
          <w:b/>
        </w:rPr>
        <w:t>March</w:t>
      </w:r>
      <w:r>
        <w:rPr>
          <w:b/>
        </w:rPr>
        <w:t xml:space="preserve"> 201</w:t>
      </w:r>
      <w:r w:rsidR="0003075C">
        <w:rPr>
          <w:b/>
        </w:rPr>
        <w:t>3</w:t>
      </w:r>
      <w:r>
        <w:rPr>
          <w:b/>
        </w:rPr>
        <w:tab/>
      </w:r>
      <w:r w:rsidR="00C717DB">
        <w:rPr>
          <w:b/>
        </w:rPr>
        <w:t>3</w:t>
      </w:r>
      <w:r w:rsidR="003774F7">
        <w:rPr>
          <w:b/>
        </w:rPr>
        <w:t>1</w:t>
      </w:r>
      <w:r w:rsidR="00C717DB">
        <w:rPr>
          <w:b/>
        </w:rPr>
        <w:t xml:space="preserve"> </w:t>
      </w:r>
      <w:r w:rsidR="0003075C">
        <w:rPr>
          <w:b/>
        </w:rPr>
        <w:t>Dec</w:t>
      </w:r>
      <w:r w:rsidR="00C717DB">
        <w:rPr>
          <w:b/>
        </w:rPr>
        <w:t xml:space="preserve"> 201</w:t>
      </w:r>
      <w:r w:rsidR="001F5880">
        <w:rPr>
          <w:b/>
        </w:rPr>
        <w:t>2</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136DB7">
      <w:pPr>
        <w:pStyle w:val="BodyTextIndent2"/>
        <w:tabs>
          <w:tab w:val="right" w:pos="6840"/>
          <w:tab w:val="left" w:pos="8100"/>
          <w:tab w:val="right" w:pos="8190"/>
        </w:tabs>
        <w:spacing w:before="0" w:line="260" w:lineRule="exact"/>
        <w:ind w:left="1080" w:hanging="360"/>
        <w:jc w:val="both"/>
      </w:pPr>
      <w:r w:rsidRPr="000B16F9">
        <w:t xml:space="preserve">  - </w:t>
      </w:r>
      <w:r>
        <w:t>non wholly-owned s</w:t>
      </w:r>
      <w:r w:rsidRPr="000B16F9">
        <w:t>ubsidiary compa</w:t>
      </w:r>
      <w:r w:rsidR="00136DB7">
        <w:t>nies</w:t>
      </w:r>
      <w:r w:rsidR="00136DB7">
        <w:tab/>
      </w:r>
      <w:r w:rsidR="00387DC9">
        <w:t>2</w:t>
      </w:r>
      <w:r w:rsidR="00D00CA3">
        <w:t>4</w:t>
      </w:r>
      <w:r w:rsidR="00387DC9">
        <w:t>,912</w:t>
      </w:r>
      <w:r w:rsidR="00136DB7">
        <w:tab/>
      </w:r>
      <w:r w:rsidR="00387DC9">
        <w:t>23,912</w:t>
      </w:r>
    </w:p>
    <w:p w:rsidR="00A22396" w:rsidRPr="000B16F9" w:rsidRDefault="00A22396" w:rsidP="00A22396">
      <w:pPr>
        <w:pStyle w:val="BodyTextIndent2"/>
        <w:tabs>
          <w:tab w:val="decimal" w:pos="6840"/>
          <w:tab w:val="decimal" w:pos="8640"/>
        </w:tabs>
        <w:spacing w:before="0" w:after="80" w:line="260" w:lineRule="exact"/>
        <w:ind w:left="0"/>
        <w:jc w:val="both"/>
      </w:pP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Harbour-Link for the financial </w:t>
      </w:r>
      <w:r w:rsidR="00C717DB">
        <w:t>period</w:t>
      </w:r>
      <w:r>
        <w:t xml:space="preserve"> ending 3</w:t>
      </w:r>
      <w:r w:rsidR="0036479D">
        <w:t>1</w:t>
      </w:r>
      <w:r>
        <w:t xml:space="preserve"> </w:t>
      </w:r>
      <w:r w:rsidR="0003075C">
        <w:t>March</w:t>
      </w:r>
      <w:r w:rsidR="001F5880">
        <w:t xml:space="preserve"> 201</w:t>
      </w:r>
      <w:r w:rsidR="0003075C">
        <w:t>3</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t>Realised and Unrealised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69069B">
        <w:rPr>
          <w:b/>
        </w:rPr>
        <w:t>1</w:t>
      </w:r>
      <w:r>
        <w:rPr>
          <w:b/>
        </w:rPr>
        <w:t xml:space="preserve"> </w:t>
      </w:r>
      <w:r w:rsidR="004510A2">
        <w:rPr>
          <w:b/>
        </w:rPr>
        <w:t>March</w:t>
      </w:r>
      <w:r w:rsidR="00C96E8E">
        <w:rPr>
          <w:b/>
        </w:rPr>
        <w:t xml:space="preserve"> </w:t>
      </w:r>
      <w:r>
        <w:rPr>
          <w:b/>
        </w:rPr>
        <w:t>201</w:t>
      </w:r>
      <w:r w:rsidR="004510A2">
        <w:rPr>
          <w:b/>
        </w:rPr>
        <w:t>3</w:t>
      </w:r>
      <w:r>
        <w:rPr>
          <w:b/>
        </w:rPr>
        <w:tab/>
      </w:r>
      <w:r w:rsidR="001F5880">
        <w:rPr>
          <w:b/>
        </w:rPr>
        <w:t>30 June 2012</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Realised</w:t>
      </w:r>
      <w:r w:rsidR="004E491F">
        <w:tab/>
      </w:r>
      <w:r w:rsidR="0069069B">
        <w:t>10</w:t>
      </w:r>
      <w:r w:rsidR="004510A2">
        <w:t>6</w:t>
      </w:r>
      <w:r w:rsidR="00E35AF8">
        <w:t>,</w:t>
      </w:r>
      <w:r w:rsidR="004510A2">
        <w:t>382</w:t>
      </w:r>
      <w:r w:rsidR="00757DF8">
        <w:tab/>
      </w:r>
      <w:r w:rsidR="001539B4">
        <w:t>91,743</w:t>
      </w:r>
    </w:p>
    <w:p w:rsidR="00FD0B1A" w:rsidRDefault="00FD0B1A" w:rsidP="001F2093">
      <w:pPr>
        <w:pStyle w:val="BodyTextIndent2"/>
        <w:tabs>
          <w:tab w:val="right" w:pos="6840"/>
          <w:tab w:val="right" w:pos="8640"/>
        </w:tabs>
        <w:spacing w:before="0" w:line="260" w:lineRule="exact"/>
        <w:ind w:left="1440"/>
        <w:jc w:val="both"/>
      </w:pPr>
      <w:r>
        <w:t>-  Unrealised</w:t>
      </w:r>
      <w:r w:rsidR="001F2093">
        <w:tab/>
      </w:r>
      <w:r w:rsidR="00746C4D">
        <w:t>(</w:t>
      </w:r>
      <w:r w:rsidR="004510A2">
        <w:t>9,624</w:t>
      </w:r>
      <w:r w:rsidR="00117EFA">
        <w:t>)</w:t>
      </w:r>
      <w:r w:rsidR="001F2093">
        <w:tab/>
      </w:r>
      <w:r w:rsidR="00124653">
        <w:t>(</w:t>
      </w:r>
      <w:r w:rsidR="001539B4">
        <w:t>9,189</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69069B">
        <w:t>9</w:t>
      </w:r>
      <w:r w:rsidR="004510A2">
        <w:t>6,758</w:t>
      </w:r>
      <w:r>
        <w:tab/>
      </w:r>
      <w:r w:rsidR="001539B4">
        <w:t>82</w:t>
      </w:r>
      <w:r w:rsidR="00E3117F">
        <w:t>,</w:t>
      </w:r>
      <w:r w:rsidR="001539B4">
        <w:t>554</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r>
        <w:t>company:</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Realised</w:t>
      </w:r>
      <w:r>
        <w:tab/>
      </w:r>
      <w:r w:rsidR="004510A2">
        <w:t>4,098</w:t>
      </w:r>
      <w:r w:rsidR="001F2093">
        <w:tab/>
      </w:r>
      <w:r w:rsidR="001539B4">
        <w:t>2,665</w:t>
      </w:r>
    </w:p>
    <w:p w:rsidR="001F2093" w:rsidRDefault="001F2093" w:rsidP="001F2093">
      <w:pPr>
        <w:pStyle w:val="BodyTextIndent2"/>
        <w:tabs>
          <w:tab w:val="right" w:pos="6840"/>
          <w:tab w:val="right" w:pos="8640"/>
        </w:tabs>
        <w:spacing w:before="0" w:line="260" w:lineRule="exact"/>
        <w:ind w:left="1440"/>
        <w:jc w:val="both"/>
      </w:pPr>
      <w:r>
        <w:t>-  Unrealised</w:t>
      </w: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4510A2">
        <w:t>100,856</w:t>
      </w:r>
      <w:r>
        <w:tab/>
      </w:r>
      <w:r w:rsidR="001539B4">
        <w:t>85,219</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4510A2">
        <w:t>ed 2</w:t>
      </w:r>
      <w:r w:rsidR="003774F7">
        <w:t>2</w:t>
      </w:r>
      <w:r w:rsidR="005F2617">
        <w:t xml:space="preserve"> </w:t>
      </w:r>
      <w:r w:rsidR="004510A2">
        <w:t>May</w:t>
      </w:r>
      <w:r w:rsidR="005F2617">
        <w:t xml:space="preserve"> </w:t>
      </w:r>
      <w:r w:rsidR="00A740FD">
        <w:t>201</w:t>
      </w:r>
      <w:r w:rsidR="005F2617">
        <w:t>3</w:t>
      </w:r>
      <w:r w:rsidR="00E24968">
        <w:t>.</w:t>
      </w:r>
    </w:p>
    <w:sectPr w:rsidR="00E24968" w:rsidSect="006E0C09">
      <w:headerReference w:type="default" r:id="rId9"/>
      <w:footerReference w:type="default" r:id="rId10"/>
      <w:pgSz w:w="12240" w:h="15840" w:code="1"/>
      <w:pgMar w:top="1728" w:right="1584" w:bottom="1008" w:left="1584" w:header="100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90" w:rsidRDefault="00615E90">
      <w:r>
        <w:separator/>
      </w:r>
    </w:p>
  </w:endnote>
  <w:endnote w:type="continuationSeparator" w:id="0">
    <w:p w:rsidR="00615E90" w:rsidRDefault="0061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0" w:rsidRDefault="00615E90">
    <w:pPr>
      <w:pStyle w:val="Footer"/>
    </w:pPr>
    <w:r>
      <w:tab/>
    </w:r>
    <w:r>
      <w:tab/>
    </w:r>
    <w:r w:rsidR="000167C8">
      <w:rPr>
        <w:rStyle w:val="PageNumber"/>
      </w:rPr>
      <w:fldChar w:fldCharType="begin"/>
    </w:r>
    <w:r>
      <w:rPr>
        <w:rStyle w:val="PageNumber"/>
      </w:rPr>
      <w:instrText xml:space="preserve"> PAGE </w:instrText>
    </w:r>
    <w:r w:rsidR="000167C8">
      <w:rPr>
        <w:rStyle w:val="PageNumber"/>
      </w:rPr>
      <w:fldChar w:fldCharType="separate"/>
    </w:r>
    <w:r w:rsidR="00185926">
      <w:rPr>
        <w:rStyle w:val="PageNumber"/>
        <w:noProof/>
      </w:rPr>
      <w:t>1</w:t>
    </w:r>
    <w:r w:rsidR="000167C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0" w:rsidRDefault="00615E90">
    <w:pPr>
      <w:pStyle w:val="Footer"/>
    </w:pPr>
    <w:r>
      <w:tab/>
    </w:r>
    <w:r>
      <w:tab/>
    </w:r>
    <w:r w:rsidR="000167C8">
      <w:rPr>
        <w:rStyle w:val="PageNumber"/>
      </w:rPr>
      <w:fldChar w:fldCharType="begin"/>
    </w:r>
    <w:r>
      <w:rPr>
        <w:rStyle w:val="PageNumber"/>
      </w:rPr>
      <w:instrText xml:space="preserve"> PAGE </w:instrText>
    </w:r>
    <w:r w:rsidR="000167C8">
      <w:rPr>
        <w:rStyle w:val="PageNumber"/>
      </w:rPr>
      <w:fldChar w:fldCharType="separate"/>
    </w:r>
    <w:r w:rsidR="00185926">
      <w:rPr>
        <w:rStyle w:val="PageNumber"/>
        <w:noProof/>
      </w:rPr>
      <w:t>20</w:t>
    </w:r>
    <w:r w:rsidR="000167C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90" w:rsidRDefault="00615E90">
      <w:r>
        <w:separator/>
      </w:r>
    </w:p>
  </w:footnote>
  <w:footnote w:type="continuationSeparator" w:id="0">
    <w:p w:rsidR="00615E90" w:rsidRDefault="0061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0" w:rsidRDefault="00615E90">
    <w:pPr>
      <w:pStyle w:val="Header"/>
      <w:rPr>
        <w:rFonts w:ascii="Verdana" w:hAnsi="Verdana"/>
      </w:rPr>
    </w:pPr>
    <w:r>
      <w:rPr>
        <w:rFonts w:ascii="Verdana" w:hAnsi="Verdana"/>
      </w:rPr>
      <w:t>Additional Information to the Interim Financial Report</w:t>
    </w: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5">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0">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3">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15">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9">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20">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23">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6">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9">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AD7546A"/>
    <w:multiLevelType w:val="hybridMultilevel"/>
    <w:tmpl w:val="240896E6"/>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3">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14"/>
  </w:num>
  <w:num w:numId="2">
    <w:abstractNumId w:val="23"/>
  </w:num>
  <w:num w:numId="3">
    <w:abstractNumId w:val="27"/>
  </w:num>
  <w:num w:numId="4">
    <w:abstractNumId w:val="33"/>
  </w:num>
  <w:num w:numId="5">
    <w:abstractNumId w:val="5"/>
  </w:num>
  <w:num w:numId="6">
    <w:abstractNumId w:val="2"/>
  </w:num>
  <w:num w:numId="7">
    <w:abstractNumId w:val="8"/>
  </w:num>
  <w:num w:numId="8">
    <w:abstractNumId w:val="26"/>
  </w:num>
  <w:num w:numId="9">
    <w:abstractNumId w:val="29"/>
  </w:num>
  <w:num w:numId="10">
    <w:abstractNumId w:val="10"/>
  </w:num>
  <w:num w:numId="11">
    <w:abstractNumId w:val="31"/>
  </w:num>
  <w:num w:numId="12">
    <w:abstractNumId w:val="24"/>
  </w:num>
  <w:num w:numId="13">
    <w:abstractNumId w:val="15"/>
  </w:num>
  <w:num w:numId="14">
    <w:abstractNumId w:val="1"/>
  </w:num>
  <w:num w:numId="15">
    <w:abstractNumId w:val="16"/>
  </w:num>
  <w:num w:numId="16">
    <w:abstractNumId w:val="30"/>
  </w:num>
  <w:num w:numId="17">
    <w:abstractNumId w:val="6"/>
  </w:num>
  <w:num w:numId="18">
    <w:abstractNumId w:val="21"/>
  </w:num>
  <w:num w:numId="19">
    <w:abstractNumId w:val="13"/>
  </w:num>
  <w:num w:numId="20">
    <w:abstractNumId w:val="20"/>
  </w:num>
  <w:num w:numId="21">
    <w:abstractNumId w:val="17"/>
  </w:num>
  <w:num w:numId="22">
    <w:abstractNumId w:val="3"/>
  </w:num>
  <w:num w:numId="23">
    <w:abstractNumId w:val="11"/>
  </w:num>
  <w:num w:numId="24">
    <w:abstractNumId w:val="4"/>
  </w:num>
  <w:num w:numId="25">
    <w:abstractNumId w:val="19"/>
  </w:num>
  <w:num w:numId="26">
    <w:abstractNumId w:val="22"/>
  </w:num>
  <w:num w:numId="27">
    <w:abstractNumId w:val="25"/>
  </w:num>
  <w:num w:numId="28">
    <w:abstractNumId w:val="32"/>
  </w:num>
  <w:num w:numId="29">
    <w:abstractNumId w:val="12"/>
  </w:num>
  <w:num w:numId="30">
    <w:abstractNumId w:val="34"/>
  </w:num>
  <w:num w:numId="31">
    <w:abstractNumId w:val="18"/>
  </w:num>
  <w:num w:numId="32">
    <w:abstractNumId w:val="28"/>
  </w:num>
  <w:num w:numId="33">
    <w:abstractNumId w:val="9"/>
  </w:num>
  <w:num w:numId="34">
    <w:abstractNumId w:val="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E5A"/>
    <w:rsid w:val="00002067"/>
    <w:rsid w:val="00002459"/>
    <w:rsid w:val="00002F67"/>
    <w:rsid w:val="00003826"/>
    <w:rsid w:val="00003FDD"/>
    <w:rsid w:val="00004385"/>
    <w:rsid w:val="00005442"/>
    <w:rsid w:val="00005792"/>
    <w:rsid w:val="00007B50"/>
    <w:rsid w:val="00010082"/>
    <w:rsid w:val="00011C08"/>
    <w:rsid w:val="0001430D"/>
    <w:rsid w:val="000154C0"/>
    <w:rsid w:val="000167C8"/>
    <w:rsid w:val="00016858"/>
    <w:rsid w:val="00016CDC"/>
    <w:rsid w:val="00017EF2"/>
    <w:rsid w:val="000202EE"/>
    <w:rsid w:val="00021344"/>
    <w:rsid w:val="000226E4"/>
    <w:rsid w:val="00023AF2"/>
    <w:rsid w:val="00023FB3"/>
    <w:rsid w:val="00027729"/>
    <w:rsid w:val="0003075C"/>
    <w:rsid w:val="000326ED"/>
    <w:rsid w:val="00033E3A"/>
    <w:rsid w:val="00036BEB"/>
    <w:rsid w:val="0004250C"/>
    <w:rsid w:val="00042643"/>
    <w:rsid w:val="000526EB"/>
    <w:rsid w:val="000536EA"/>
    <w:rsid w:val="000542ED"/>
    <w:rsid w:val="0005523B"/>
    <w:rsid w:val="0005643B"/>
    <w:rsid w:val="00064127"/>
    <w:rsid w:val="00065650"/>
    <w:rsid w:val="0007106F"/>
    <w:rsid w:val="000766E5"/>
    <w:rsid w:val="00080074"/>
    <w:rsid w:val="00080B71"/>
    <w:rsid w:val="00081313"/>
    <w:rsid w:val="00081D08"/>
    <w:rsid w:val="000830AD"/>
    <w:rsid w:val="00084E34"/>
    <w:rsid w:val="000865EB"/>
    <w:rsid w:val="00087F70"/>
    <w:rsid w:val="0009232A"/>
    <w:rsid w:val="0009468C"/>
    <w:rsid w:val="0009590E"/>
    <w:rsid w:val="00095CB7"/>
    <w:rsid w:val="000961C0"/>
    <w:rsid w:val="0009701A"/>
    <w:rsid w:val="000A2A8E"/>
    <w:rsid w:val="000A3DAD"/>
    <w:rsid w:val="000A483C"/>
    <w:rsid w:val="000A5336"/>
    <w:rsid w:val="000A5DBA"/>
    <w:rsid w:val="000A62E2"/>
    <w:rsid w:val="000A7B00"/>
    <w:rsid w:val="000B12D2"/>
    <w:rsid w:val="000B16F9"/>
    <w:rsid w:val="000B1FB5"/>
    <w:rsid w:val="000B410E"/>
    <w:rsid w:val="000B7113"/>
    <w:rsid w:val="000C341C"/>
    <w:rsid w:val="000C4C53"/>
    <w:rsid w:val="000C64BC"/>
    <w:rsid w:val="000C777F"/>
    <w:rsid w:val="000C77D8"/>
    <w:rsid w:val="000C77E3"/>
    <w:rsid w:val="000D50BA"/>
    <w:rsid w:val="000D69CB"/>
    <w:rsid w:val="000D6D33"/>
    <w:rsid w:val="000E2EED"/>
    <w:rsid w:val="000E5482"/>
    <w:rsid w:val="000E63FD"/>
    <w:rsid w:val="000F0965"/>
    <w:rsid w:val="000F2001"/>
    <w:rsid w:val="000F28EC"/>
    <w:rsid w:val="000F2E5B"/>
    <w:rsid w:val="00105C2B"/>
    <w:rsid w:val="001066B3"/>
    <w:rsid w:val="001068DE"/>
    <w:rsid w:val="00106DAB"/>
    <w:rsid w:val="00110631"/>
    <w:rsid w:val="0011420D"/>
    <w:rsid w:val="00115052"/>
    <w:rsid w:val="0011623A"/>
    <w:rsid w:val="001178F5"/>
    <w:rsid w:val="00117EFA"/>
    <w:rsid w:val="00121635"/>
    <w:rsid w:val="00124169"/>
    <w:rsid w:val="00124653"/>
    <w:rsid w:val="001253FA"/>
    <w:rsid w:val="0012703D"/>
    <w:rsid w:val="00135E06"/>
    <w:rsid w:val="001367E1"/>
    <w:rsid w:val="00136DB7"/>
    <w:rsid w:val="001417BD"/>
    <w:rsid w:val="00145132"/>
    <w:rsid w:val="001451DC"/>
    <w:rsid w:val="001469A0"/>
    <w:rsid w:val="00147AFA"/>
    <w:rsid w:val="00151A04"/>
    <w:rsid w:val="00152B7A"/>
    <w:rsid w:val="001539B4"/>
    <w:rsid w:val="00164CFC"/>
    <w:rsid w:val="001668DA"/>
    <w:rsid w:val="00170225"/>
    <w:rsid w:val="00171657"/>
    <w:rsid w:val="00171795"/>
    <w:rsid w:val="00172954"/>
    <w:rsid w:val="00174806"/>
    <w:rsid w:val="00176EFD"/>
    <w:rsid w:val="00177731"/>
    <w:rsid w:val="0018073F"/>
    <w:rsid w:val="001808B6"/>
    <w:rsid w:val="001809EE"/>
    <w:rsid w:val="001824AE"/>
    <w:rsid w:val="001828B4"/>
    <w:rsid w:val="00182AF5"/>
    <w:rsid w:val="00183F19"/>
    <w:rsid w:val="00184256"/>
    <w:rsid w:val="001845C2"/>
    <w:rsid w:val="0018558C"/>
    <w:rsid w:val="00185926"/>
    <w:rsid w:val="00185C38"/>
    <w:rsid w:val="00187D55"/>
    <w:rsid w:val="0019451D"/>
    <w:rsid w:val="00195DF7"/>
    <w:rsid w:val="00196838"/>
    <w:rsid w:val="00196FD8"/>
    <w:rsid w:val="001A19F7"/>
    <w:rsid w:val="001A21F9"/>
    <w:rsid w:val="001A2CA2"/>
    <w:rsid w:val="001A69B5"/>
    <w:rsid w:val="001A7747"/>
    <w:rsid w:val="001B2D5F"/>
    <w:rsid w:val="001B3573"/>
    <w:rsid w:val="001B7937"/>
    <w:rsid w:val="001B7F16"/>
    <w:rsid w:val="001C05EA"/>
    <w:rsid w:val="001C06E6"/>
    <w:rsid w:val="001C1877"/>
    <w:rsid w:val="001C23FD"/>
    <w:rsid w:val="001D01BA"/>
    <w:rsid w:val="001D49D6"/>
    <w:rsid w:val="001E0517"/>
    <w:rsid w:val="001E1D6C"/>
    <w:rsid w:val="001E2BF5"/>
    <w:rsid w:val="001E3A55"/>
    <w:rsid w:val="001F2093"/>
    <w:rsid w:val="001F21CA"/>
    <w:rsid w:val="001F571F"/>
    <w:rsid w:val="001F5880"/>
    <w:rsid w:val="001F5F0B"/>
    <w:rsid w:val="001F6431"/>
    <w:rsid w:val="002023DF"/>
    <w:rsid w:val="00202980"/>
    <w:rsid w:val="00203AD1"/>
    <w:rsid w:val="00203E32"/>
    <w:rsid w:val="002045F1"/>
    <w:rsid w:val="00207699"/>
    <w:rsid w:val="002078B3"/>
    <w:rsid w:val="00211E9D"/>
    <w:rsid w:val="00214A65"/>
    <w:rsid w:val="00215473"/>
    <w:rsid w:val="0021578B"/>
    <w:rsid w:val="002237C9"/>
    <w:rsid w:val="00224E95"/>
    <w:rsid w:val="0022549C"/>
    <w:rsid w:val="00226A0F"/>
    <w:rsid w:val="00226AB4"/>
    <w:rsid w:val="002277D0"/>
    <w:rsid w:val="00230AE1"/>
    <w:rsid w:val="00232091"/>
    <w:rsid w:val="0023211D"/>
    <w:rsid w:val="00232415"/>
    <w:rsid w:val="002339A6"/>
    <w:rsid w:val="0023431A"/>
    <w:rsid w:val="0023584E"/>
    <w:rsid w:val="00236191"/>
    <w:rsid w:val="002401C3"/>
    <w:rsid w:val="002407FD"/>
    <w:rsid w:val="0024266B"/>
    <w:rsid w:val="00244062"/>
    <w:rsid w:val="00246334"/>
    <w:rsid w:val="002521D4"/>
    <w:rsid w:val="00254EF2"/>
    <w:rsid w:val="00260DFE"/>
    <w:rsid w:val="0026441C"/>
    <w:rsid w:val="00265461"/>
    <w:rsid w:val="002664FD"/>
    <w:rsid w:val="00267BFF"/>
    <w:rsid w:val="00271FD8"/>
    <w:rsid w:val="00273363"/>
    <w:rsid w:val="00273EE7"/>
    <w:rsid w:val="00274048"/>
    <w:rsid w:val="00280677"/>
    <w:rsid w:val="00280717"/>
    <w:rsid w:val="00280B5D"/>
    <w:rsid w:val="00280F91"/>
    <w:rsid w:val="00281332"/>
    <w:rsid w:val="00283F54"/>
    <w:rsid w:val="00285192"/>
    <w:rsid w:val="00290176"/>
    <w:rsid w:val="00290383"/>
    <w:rsid w:val="00292C5C"/>
    <w:rsid w:val="002959D6"/>
    <w:rsid w:val="002A385C"/>
    <w:rsid w:val="002A5517"/>
    <w:rsid w:val="002A58E2"/>
    <w:rsid w:val="002B11DD"/>
    <w:rsid w:val="002B1F56"/>
    <w:rsid w:val="002B2C6A"/>
    <w:rsid w:val="002B4763"/>
    <w:rsid w:val="002C180E"/>
    <w:rsid w:val="002C46D3"/>
    <w:rsid w:val="002C5174"/>
    <w:rsid w:val="002C58B6"/>
    <w:rsid w:val="002D11A1"/>
    <w:rsid w:val="002D1604"/>
    <w:rsid w:val="002D1B76"/>
    <w:rsid w:val="002D47AA"/>
    <w:rsid w:val="002E035C"/>
    <w:rsid w:val="002E193A"/>
    <w:rsid w:val="002E2544"/>
    <w:rsid w:val="002E2B7B"/>
    <w:rsid w:val="002E2F31"/>
    <w:rsid w:val="002E42B6"/>
    <w:rsid w:val="002E7021"/>
    <w:rsid w:val="002F29CD"/>
    <w:rsid w:val="002F4963"/>
    <w:rsid w:val="002F6DF1"/>
    <w:rsid w:val="003008FF"/>
    <w:rsid w:val="003013F3"/>
    <w:rsid w:val="0030309D"/>
    <w:rsid w:val="00303E89"/>
    <w:rsid w:val="00307A36"/>
    <w:rsid w:val="0031007D"/>
    <w:rsid w:val="0031171F"/>
    <w:rsid w:val="0031315E"/>
    <w:rsid w:val="00315426"/>
    <w:rsid w:val="00320EC3"/>
    <w:rsid w:val="00322E2A"/>
    <w:rsid w:val="00323FDF"/>
    <w:rsid w:val="00324AC9"/>
    <w:rsid w:val="00325F0B"/>
    <w:rsid w:val="003335E6"/>
    <w:rsid w:val="0033409F"/>
    <w:rsid w:val="00334110"/>
    <w:rsid w:val="003362B0"/>
    <w:rsid w:val="00337034"/>
    <w:rsid w:val="00337AE8"/>
    <w:rsid w:val="003403BA"/>
    <w:rsid w:val="003404A9"/>
    <w:rsid w:val="00341FBE"/>
    <w:rsid w:val="0034336D"/>
    <w:rsid w:val="003435B4"/>
    <w:rsid w:val="003448C4"/>
    <w:rsid w:val="00344F9C"/>
    <w:rsid w:val="00346E68"/>
    <w:rsid w:val="00354B3E"/>
    <w:rsid w:val="003557E7"/>
    <w:rsid w:val="00355D50"/>
    <w:rsid w:val="00357C20"/>
    <w:rsid w:val="00357C2A"/>
    <w:rsid w:val="00361630"/>
    <w:rsid w:val="00361955"/>
    <w:rsid w:val="0036445C"/>
    <w:rsid w:val="0036479D"/>
    <w:rsid w:val="003657A3"/>
    <w:rsid w:val="00365B19"/>
    <w:rsid w:val="003666BF"/>
    <w:rsid w:val="00366C1C"/>
    <w:rsid w:val="00370513"/>
    <w:rsid w:val="00370B34"/>
    <w:rsid w:val="00371BC1"/>
    <w:rsid w:val="00373347"/>
    <w:rsid w:val="00373C1D"/>
    <w:rsid w:val="00373D73"/>
    <w:rsid w:val="003774F7"/>
    <w:rsid w:val="0038209A"/>
    <w:rsid w:val="00382D5A"/>
    <w:rsid w:val="00385E5D"/>
    <w:rsid w:val="00387DC9"/>
    <w:rsid w:val="003903DA"/>
    <w:rsid w:val="0039058F"/>
    <w:rsid w:val="003930D0"/>
    <w:rsid w:val="00393678"/>
    <w:rsid w:val="003B0469"/>
    <w:rsid w:val="003B4050"/>
    <w:rsid w:val="003B6FEF"/>
    <w:rsid w:val="003B72A0"/>
    <w:rsid w:val="003C13EA"/>
    <w:rsid w:val="003C2EE5"/>
    <w:rsid w:val="003C566D"/>
    <w:rsid w:val="003C7EB4"/>
    <w:rsid w:val="003D0547"/>
    <w:rsid w:val="003D4B28"/>
    <w:rsid w:val="003D509D"/>
    <w:rsid w:val="003E1AA5"/>
    <w:rsid w:val="003E24F6"/>
    <w:rsid w:val="003E2538"/>
    <w:rsid w:val="003E5C9E"/>
    <w:rsid w:val="003E655D"/>
    <w:rsid w:val="003E7E50"/>
    <w:rsid w:val="003E7F25"/>
    <w:rsid w:val="003F0EF0"/>
    <w:rsid w:val="003F1DD2"/>
    <w:rsid w:val="003F3189"/>
    <w:rsid w:val="003F37C8"/>
    <w:rsid w:val="003F603C"/>
    <w:rsid w:val="003F6AEB"/>
    <w:rsid w:val="00401291"/>
    <w:rsid w:val="00401E48"/>
    <w:rsid w:val="004060D0"/>
    <w:rsid w:val="004071DF"/>
    <w:rsid w:val="00407914"/>
    <w:rsid w:val="00411214"/>
    <w:rsid w:val="004152B6"/>
    <w:rsid w:val="004179AF"/>
    <w:rsid w:val="00422FE7"/>
    <w:rsid w:val="004230FE"/>
    <w:rsid w:val="0042422E"/>
    <w:rsid w:val="00424DF8"/>
    <w:rsid w:val="00427FBF"/>
    <w:rsid w:val="00432439"/>
    <w:rsid w:val="004346E9"/>
    <w:rsid w:val="004355B8"/>
    <w:rsid w:val="004365BB"/>
    <w:rsid w:val="004374E2"/>
    <w:rsid w:val="00440AC5"/>
    <w:rsid w:val="004437F2"/>
    <w:rsid w:val="00444D41"/>
    <w:rsid w:val="0044669B"/>
    <w:rsid w:val="004510A2"/>
    <w:rsid w:val="0045624B"/>
    <w:rsid w:val="00456D2A"/>
    <w:rsid w:val="004573A8"/>
    <w:rsid w:val="004577E8"/>
    <w:rsid w:val="00461AB4"/>
    <w:rsid w:val="0046257F"/>
    <w:rsid w:val="00462777"/>
    <w:rsid w:val="00464434"/>
    <w:rsid w:val="00467A77"/>
    <w:rsid w:val="004773ED"/>
    <w:rsid w:val="004827E1"/>
    <w:rsid w:val="0048680E"/>
    <w:rsid w:val="0048703B"/>
    <w:rsid w:val="004873D1"/>
    <w:rsid w:val="004920A9"/>
    <w:rsid w:val="004947D3"/>
    <w:rsid w:val="00497471"/>
    <w:rsid w:val="004A4468"/>
    <w:rsid w:val="004A4EB8"/>
    <w:rsid w:val="004A5160"/>
    <w:rsid w:val="004A55DB"/>
    <w:rsid w:val="004A61D8"/>
    <w:rsid w:val="004B00B9"/>
    <w:rsid w:val="004B0930"/>
    <w:rsid w:val="004B0C44"/>
    <w:rsid w:val="004B3C4A"/>
    <w:rsid w:val="004B4745"/>
    <w:rsid w:val="004B47AD"/>
    <w:rsid w:val="004B7886"/>
    <w:rsid w:val="004C19DA"/>
    <w:rsid w:val="004C1AF5"/>
    <w:rsid w:val="004C1CBD"/>
    <w:rsid w:val="004D23B8"/>
    <w:rsid w:val="004D397B"/>
    <w:rsid w:val="004D3D36"/>
    <w:rsid w:val="004D41B8"/>
    <w:rsid w:val="004D6E03"/>
    <w:rsid w:val="004D7E12"/>
    <w:rsid w:val="004E2A8A"/>
    <w:rsid w:val="004E34D7"/>
    <w:rsid w:val="004E491F"/>
    <w:rsid w:val="004E62C5"/>
    <w:rsid w:val="004E7E05"/>
    <w:rsid w:val="004F0E7A"/>
    <w:rsid w:val="004F3933"/>
    <w:rsid w:val="004F437C"/>
    <w:rsid w:val="004F4D33"/>
    <w:rsid w:val="004F4EF1"/>
    <w:rsid w:val="004F6C1A"/>
    <w:rsid w:val="004F6D6C"/>
    <w:rsid w:val="004F6D87"/>
    <w:rsid w:val="004F76F3"/>
    <w:rsid w:val="00501B69"/>
    <w:rsid w:val="00501E76"/>
    <w:rsid w:val="00503417"/>
    <w:rsid w:val="00506611"/>
    <w:rsid w:val="00506CC2"/>
    <w:rsid w:val="00507541"/>
    <w:rsid w:val="00507CFB"/>
    <w:rsid w:val="00510E6A"/>
    <w:rsid w:val="005112EC"/>
    <w:rsid w:val="005119B2"/>
    <w:rsid w:val="00512DA4"/>
    <w:rsid w:val="0051431B"/>
    <w:rsid w:val="00514D5E"/>
    <w:rsid w:val="00520B0C"/>
    <w:rsid w:val="005218F4"/>
    <w:rsid w:val="00522CB6"/>
    <w:rsid w:val="00524A22"/>
    <w:rsid w:val="0052584E"/>
    <w:rsid w:val="00527326"/>
    <w:rsid w:val="005352C3"/>
    <w:rsid w:val="0054230C"/>
    <w:rsid w:val="00544003"/>
    <w:rsid w:val="0054637E"/>
    <w:rsid w:val="00546826"/>
    <w:rsid w:val="00556E9B"/>
    <w:rsid w:val="005658EE"/>
    <w:rsid w:val="00566312"/>
    <w:rsid w:val="0056730E"/>
    <w:rsid w:val="00571056"/>
    <w:rsid w:val="005759C4"/>
    <w:rsid w:val="0058140E"/>
    <w:rsid w:val="00581E9F"/>
    <w:rsid w:val="00583A30"/>
    <w:rsid w:val="00591C14"/>
    <w:rsid w:val="00592416"/>
    <w:rsid w:val="005947CB"/>
    <w:rsid w:val="00594964"/>
    <w:rsid w:val="00596219"/>
    <w:rsid w:val="005A1B16"/>
    <w:rsid w:val="005A3631"/>
    <w:rsid w:val="005A4101"/>
    <w:rsid w:val="005A43A6"/>
    <w:rsid w:val="005B05AA"/>
    <w:rsid w:val="005B0BD6"/>
    <w:rsid w:val="005B0C78"/>
    <w:rsid w:val="005B2EE8"/>
    <w:rsid w:val="005B3523"/>
    <w:rsid w:val="005C1C91"/>
    <w:rsid w:val="005C5156"/>
    <w:rsid w:val="005D0CA7"/>
    <w:rsid w:val="005D2724"/>
    <w:rsid w:val="005D28AC"/>
    <w:rsid w:val="005D2A3F"/>
    <w:rsid w:val="005D3BCB"/>
    <w:rsid w:val="005E20BA"/>
    <w:rsid w:val="005E4B9A"/>
    <w:rsid w:val="005E65F3"/>
    <w:rsid w:val="005E7BEA"/>
    <w:rsid w:val="005F1182"/>
    <w:rsid w:val="005F1FF9"/>
    <w:rsid w:val="005F2617"/>
    <w:rsid w:val="005F2F3D"/>
    <w:rsid w:val="005F3805"/>
    <w:rsid w:val="005F44D2"/>
    <w:rsid w:val="005F67A2"/>
    <w:rsid w:val="005F6C93"/>
    <w:rsid w:val="00603FA3"/>
    <w:rsid w:val="00606655"/>
    <w:rsid w:val="00606978"/>
    <w:rsid w:val="0061159C"/>
    <w:rsid w:val="00611C12"/>
    <w:rsid w:val="00612808"/>
    <w:rsid w:val="006133B2"/>
    <w:rsid w:val="00615D65"/>
    <w:rsid w:val="00615E90"/>
    <w:rsid w:val="006160CC"/>
    <w:rsid w:val="006214DC"/>
    <w:rsid w:val="00625935"/>
    <w:rsid w:val="00626DF9"/>
    <w:rsid w:val="0063031B"/>
    <w:rsid w:val="00630B45"/>
    <w:rsid w:val="0063196E"/>
    <w:rsid w:val="00632D7E"/>
    <w:rsid w:val="00634E3C"/>
    <w:rsid w:val="006365AD"/>
    <w:rsid w:val="00643801"/>
    <w:rsid w:val="00645725"/>
    <w:rsid w:val="00647A3D"/>
    <w:rsid w:val="00647A85"/>
    <w:rsid w:val="00647D46"/>
    <w:rsid w:val="00647ED7"/>
    <w:rsid w:val="0065366C"/>
    <w:rsid w:val="0065386F"/>
    <w:rsid w:val="006600E9"/>
    <w:rsid w:val="006605BA"/>
    <w:rsid w:val="006618D4"/>
    <w:rsid w:val="00661B56"/>
    <w:rsid w:val="00664D8B"/>
    <w:rsid w:val="00665A85"/>
    <w:rsid w:val="00666C8C"/>
    <w:rsid w:val="0066725D"/>
    <w:rsid w:val="0067082B"/>
    <w:rsid w:val="00670B3A"/>
    <w:rsid w:val="00670DA9"/>
    <w:rsid w:val="00673D37"/>
    <w:rsid w:val="00675F97"/>
    <w:rsid w:val="00676AB4"/>
    <w:rsid w:val="0067781D"/>
    <w:rsid w:val="006830B7"/>
    <w:rsid w:val="00683174"/>
    <w:rsid w:val="006837B0"/>
    <w:rsid w:val="00686603"/>
    <w:rsid w:val="0068662F"/>
    <w:rsid w:val="006870F6"/>
    <w:rsid w:val="0069069B"/>
    <w:rsid w:val="00691ED1"/>
    <w:rsid w:val="00693802"/>
    <w:rsid w:val="00695395"/>
    <w:rsid w:val="00695A86"/>
    <w:rsid w:val="006965F2"/>
    <w:rsid w:val="006A15AF"/>
    <w:rsid w:val="006A5728"/>
    <w:rsid w:val="006A6CA6"/>
    <w:rsid w:val="006A73C1"/>
    <w:rsid w:val="006B0A21"/>
    <w:rsid w:val="006B5715"/>
    <w:rsid w:val="006B71A7"/>
    <w:rsid w:val="006C1262"/>
    <w:rsid w:val="006C1A77"/>
    <w:rsid w:val="006C397C"/>
    <w:rsid w:val="006C7403"/>
    <w:rsid w:val="006D01F2"/>
    <w:rsid w:val="006D0E4A"/>
    <w:rsid w:val="006D51D3"/>
    <w:rsid w:val="006D5D6E"/>
    <w:rsid w:val="006E01BD"/>
    <w:rsid w:val="006E0C09"/>
    <w:rsid w:val="006E4C16"/>
    <w:rsid w:val="006E4F31"/>
    <w:rsid w:val="006E6959"/>
    <w:rsid w:val="006F10E8"/>
    <w:rsid w:val="006F1854"/>
    <w:rsid w:val="006F25A9"/>
    <w:rsid w:val="006F58D2"/>
    <w:rsid w:val="006F6B5F"/>
    <w:rsid w:val="006F76DB"/>
    <w:rsid w:val="00700F40"/>
    <w:rsid w:val="00701C2D"/>
    <w:rsid w:val="007022DC"/>
    <w:rsid w:val="00703DF9"/>
    <w:rsid w:val="00707D69"/>
    <w:rsid w:val="00711884"/>
    <w:rsid w:val="00713D8C"/>
    <w:rsid w:val="00715CF7"/>
    <w:rsid w:val="007209F0"/>
    <w:rsid w:val="00721EFE"/>
    <w:rsid w:val="0072262C"/>
    <w:rsid w:val="00724E2B"/>
    <w:rsid w:val="00725028"/>
    <w:rsid w:val="007266AC"/>
    <w:rsid w:val="00730BEF"/>
    <w:rsid w:val="00731815"/>
    <w:rsid w:val="00732861"/>
    <w:rsid w:val="007334DD"/>
    <w:rsid w:val="0073422D"/>
    <w:rsid w:val="00734519"/>
    <w:rsid w:val="00734A4E"/>
    <w:rsid w:val="00734EF2"/>
    <w:rsid w:val="00737081"/>
    <w:rsid w:val="007379E0"/>
    <w:rsid w:val="00737A1D"/>
    <w:rsid w:val="00740972"/>
    <w:rsid w:val="007411F6"/>
    <w:rsid w:val="00741A3D"/>
    <w:rsid w:val="00744029"/>
    <w:rsid w:val="0074610B"/>
    <w:rsid w:val="00746C4D"/>
    <w:rsid w:val="007476A5"/>
    <w:rsid w:val="00751867"/>
    <w:rsid w:val="007538C4"/>
    <w:rsid w:val="0075520B"/>
    <w:rsid w:val="00757DF8"/>
    <w:rsid w:val="0076010A"/>
    <w:rsid w:val="00760FB7"/>
    <w:rsid w:val="00763C07"/>
    <w:rsid w:val="007649E0"/>
    <w:rsid w:val="007658B3"/>
    <w:rsid w:val="00766AFA"/>
    <w:rsid w:val="00766C3B"/>
    <w:rsid w:val="00767099"/>
    <w:rsid w:val="00771F70"/>
    <w:rsid w:val="00782C38"/>
    <w:rsid w:val="00782F90"/>
    <w:rsid w:val="00783611"/>
    <w:rsid w:val="0078545B"/>
    <w:rsid w:val="00786A62"/>
    <w:rsid w:val="00791854"/>
    <w:rsid w:val="00793217"/>
    <w:rsid w:val="007936FE"/>
    <w:rsid w:val="00793C84"/>
    <w:rsid w:val="007946EC"/>
    <w:rsid w:val="00794B98"/>
    <w:rsid w:val="007958A1"/>
    <w:rsid w:val="00795C68"/>
    <w:rsid w:val="00797293"/>
    <w:rsid w:val="007A1B7B"/>
    <w:rsid w:val="007A1E29"/>
    <w:rsid w:val="007A6ECE"/>
    <w:rsid w:val="007B04F4"/>
    <w:rsid w:val="007B128F"/>
    <w:rsid w:val="007B1F26"/>
    <w:rsid w:val="007B3163"/>
    <w:rsid w:val="007B3CC2"/>
    <w:rsid w:val="007B7061"/>
    <w:rsid w:val="007C46B6"/>
    <w:rsid w:val="007C6E62"/>
    <w:rsid w:val="007D195D"/>
    <w:rsid w:val="007D4EF6"/>
    <w:rsid w:val="007D6265"/>
    <w:rsid w:val="007D63DE"/>
    <w:rsid w:val="007D7CA4"/>
    <w:rsid w:val="007E03C6"/>
    <w:rsid w:val="007E255F"/>
    <w:rsid w:val="007E60B3"/>
    <w:rsid w:val="007E751C"/>
    <w:rsid w:val="007F05F3"/>
    <w:rsid w:val="007F4AC3"/>
    <w:rsid w:val="007F561B"/>
    <w:rsid w:val="007F5C89"/>
    <w:rsid w:val="0080191A"/>
    <w:rsid w:val="00811268"/>
    <w:rsid w:val="00811E2B"/>
    <w:rsid w:val="00814E96"/>
    <w:rsid w:val="00814FD3"/>
    <w:rsid w:val="008166D3"/>
    <w:rsid w:val="00816ACE"/>
    <w:rsid w:val="00820652"/>
    <w:rsid w:val="00823482"/>
    <w:rsid w:val="00824BC2"/>
    <w:rsid w:val="008254BA"/>
    <w:rsid w:val="008260CE"/>
    <w:rsid w:val="00826277"/>
    <w:rsid w:val="00827DEF"/>
    <w:rsid w:val="00830AE4"/>
    <w:rsid w:val="008310B5"/>
    <w:rsid w:val="00836933"/>
    <w:rsid w:val="008427F0"/>
    <w:rsid w:val="008430C0"/>
    <w:rsid w:val="008431EA"/>
    <w:rsid w:val="008468B3"/>
    <w:rsid w:val="00846B80"/>
    <w:rsid w:val="00852D91"/>
    <w:rsid w:val="00854898"/>
    <w:rsid w:val="0085771B"/>
    <w:rsid w:val="00861493"/>
    <w:rsid w:val="008753B8"/>
    <w:rsid w:val="00875665"/>
    <w:rsid w:val="008760A1"/>
    <w:rsid w:val="0088045E"/>
    <w:rsid w:val="00882C1E"/>
    <w:rsid w:val="00885C62"/>
    <w:rsid w:val="00886199"/>
    <w:rsid w:val="0089088C"/>
    <w:rsid w:val="00895928"/>
    <w:rsid w:val="0089744A"/>
    <w:rsid w:val="008A2702"/>
    <w:rsid w:val="008A3D28"/>
    <w:rsid w:val="008A4195"/>
    <w:rsid w:val="008A628C"/>
    <w:rsid w:val="008A64A5"/>
    <w:rsid w:val="008A73BC"/>
    <w:rsid w:val="008B183C"/>
    <w:rsid w:val="008B287E"/>
    <w:rsid w:val="008B2C06"/>
    <w:rsid w:val="008B766D"/>
    <w:rsid w:val="008B7C2C"/>
    <w:rsid w:val="008C0854"/>
    <w:rsid w:val="008C2A25"/>
    <w:rsid w:val="008C303C"/>
    <w:rsid w:val="008C3B8D"/>
    <w:rsid w:val="008D1C2B"/>
    <w:rsid w:val="008D4D46"/>
    <w:rsid w:val="008D7281"/>
    <w:rsid w:val="008D72CB"/>
    <w:rsid w:val="008D7758"/>
    <w:rsid w:val="008D7E08"/>
    <w:rsid w:val="008E14E3"/>
    <w:rsid w:val="008E555C"/>
    <w:rsid w:val="008E792A"/>
    <w:rsid w:val="00901977"/>
    <w:rsid w:val="0090375B"/>
    <w:rsid w:val="009039A2"/>
    <w:rsid w:val="0090514E"/>
    <w:rsid w:val="0090574D"/>
    <w:rsid w:val="009108D8"/>
    <w:rsid w:val="00910BE6"/>
    <w:rsid w:val="00915443"/>
    <w:rsid w:val="00916D0B"/>
    <w:rsid w:val="009172A8"/>
    <w:rsid w:val="009214B2"/>
    <w:rsid w:val="009251FE"/>
    <w:rsid w:val="00925910"/>
    <w:rsid w:val="0092697C"/>
    <w:rsid w:val="0092710A"/>
    <w:rsid w:val="009275E5"/>
    <w:rsid w:val="00927F43"/>
    <w:rsid w:val="0093129C"/>
    <w:rsid w:val="00933BDC"/>
    <w:rsid w:val="009364BB"/>
    <w:rsid w:val="009378E6"/>
    <w:rsid w:val="00941451"/>
    <w:rsid w:val="009430D5"/>
    <w:rsid w:val="00945328"/>
    <w:rsid w:val="00945D97"/>
    <w:rsid w:val="009531F0"/>
    <w:rsid w:val="009546D2"/>
    <w:rsid w:val="009554A0"/>
    <w:rsid w:val="00955937"/>
    <w:rsid w:val="009559AE"/>
    <w:rsid w:val="00955EAE"/>
    <w:rsid w:val="00960105"/>
    <w:rsid w:val="00963ADC"/>
    <w:rsid w:val="00966050"/>
    <w:rsid w:val="009669A4"/>
    <w:rsid w:val="00967A5A"/>
    <w:rsid w:val="009737F6"/>
    <w:rsid w:val="009764E9"/>
    <w:rsid w:val="00980457"/>
    <w:rsid w:val="00984002"/>
    <w:rsid w:val="00984A9D"/>
    <w:rsid w:val="00986CCC"/>
    <w:rsid w:val="00987EF1"/>
    <w:rsid w:val="009911C8"/>
    <w:rsid w:val="0099309B"/>
    <w:rsid w:val="00996A1C"/>
    <w:rsid w:val="009A0B83"/>
    <w:rsid w:val="009A0BBF"/>
    <w:rsid w:val="009A216C"/>
    <w:rsid w:val="009A4B14"/>
    <w:rsid w:val="009A681C"/>
    <w:rsid w:val="009A71FA"/>
    <w:rsid w:val="009B0B95"/>
    <w:rsid w:val="009B3AE5"/>
    <w:rsid w:val="009B4718"/>
    <w:rsid w:val="009B59A5"/>
    <w:rsid w:val="009C1270"/>
    <w:rsid w:val="009C4692"/>
    <w:rsid w:val="009C488D"/>
    <w:rsid w:val="009C4CFD"/>
    <w:rsid w:val="009C6FA2"/>
    <w:rsid w:val="009D0332"/>
    <w:rsid w:val="009D18D9"/>
    <w:rsid w:val="009D3EBD"/>
    <w:rsid w:val="009D4413"/>
    <w:rsid w:val="009D5F5C"/>
    <w:rsid w:val="009D62C6"/>
    <w:rsid w:val="009D77DF"/>
    <w:rsid w:val="009E2E37"/>
    <w:rsid w:val="009E32C9"/>
    <w:rsid w:val="009E34FD"/>
    <w:rsid w:val="009E6B30"/>
    <w:rsid w:val="009E7935"/>
    <w:rsid w:val="009F05D0"/>
    <w:rsid w:val="009F10D9"/>
    <w:rsid w:val="009F18DE"/>
    <w:rsid w:val="009F4B16"/>
    <w:rsid w:val="009F7BDF"/>
    <w:rsid w:val="00A038D0"/>
    <w:rsid w:val="00A05003"/>
    <w:rsid w:val="00A13302"/>
    <w:rsid w:val="00A14DE8"/>
    <w:rsid w:val="00A1604D"/>
    <w:rsid w:val="00A173E6"/>
    <w:rsid w:val="00A17516"/>
    <w:rsid w:val="00A22396"/>
    <w:rsid w:val="00A22777"/>
    <w:rsid w:val="00A24854"/>
    <w:rsid w:val="00A24FB7"/>
    <w:rsid w:val="00A3474A"/>
    <w:rsid w:val="00A35C64"/>
    <w:rsid w:val="00A3695B"/>
    <w:rsid w:val="00A3716B"/>
    <w:rsid w:val="00A4178F"/>
    <w:rsid w:val="00A4179F"/>
    <w:rsid w:val="00A427D0"/>
    <w:rsid w:val="00A43AAD"/>
    <w:rsid w:val="00A43F84"/>
    <w:rsid w:val="00A440DC"/>
    <w:rsid w:val="00A4592B"/>
    <w:rsid w:val="00A45BFA"/>
    <w:rsid w:val="00A4600C"/>
    <w:rsid w:val="00A50185"/>
    <w:rsid w:val="00A55B56"/>
    <w:rsid w:val="00A5643A"/>
    <w:rsid w:val="00A56A2F"/>
    <w:rsid w:val="00A573FC"/>
    <w:rsid w:val="00A57E48"/>
    <w:rsid w:val="00A647E1"/>
    <w:rsid w:val="00A64C64"/>
    <w:rsid w:val="00A740A0"/>
    <w:rsid w:val="00A740FD"/>
    <w:rsid w:val="00A75D6B"/>
    <w:rsid w:val="00A80D19"/>
    <w:rsid w:val="00A826D8"/>
    <w:rsid w:val="00A82A66"/>
    <w:rsid w:val="00A8520F"/>
    <w:rsid w:val="00A90525"/>
    <w:rsid w:val="00A90C35"/>
    <w:rsid w:val="00A91742"/>
    <w:rsid w:val="00A91B6E"/>
    <w:rsid w:val="00A92FB7"/>
    <w:rsid w:val="00AA5F0C"/>
    <w:rsid w:val="00AA70F8"/>
    <w:rsid w:val="00AB42D6"/>
    <w:rsid w:val="00AB457E"/>
    <w:rsid w:val="00AB7170"/>
    <w:rsid w:val="00AB7A27"/>
    <w:rsid w:val="00AC04B8"/>
    <w:rsid w:val="00AC363A"/>
    <w:rsid w:val="00AC4141"/>
    <w:rsid w:val="00AC6CE1"/>
    <w:rsid w:val="00AD1114"/>
    <w:rsid w:val="00AD2321"/>
    <w:rsid w:val="00AD34DC"/>
    <w:rsid w:val="00AD456A"/>
    <w:rsid w:val="00AD4B65"/>
    <w:rsid w:val="00AD62B4"/>
    <w:rsid w:val="00AD72E3"/>
    <w:rsid w:val="00AE28BE"/>
    <w:rsid w:val="00AE3C0E"/>
    <w:rsid w:val="00AE5977"/>
    <w:rsid w:val="00AE6696"/>
    <w:rsid w:val="00AF3FC3"/>
    <w:rsid w:val="00AF4E19"/>
    <w:rsid w:val="00B025BA"/>
    <w:rsid w:val="00B02748"/>
    <w:rsid w:val="00B0383A"/>
    <w:rsid w:val="00B06F48"/>
    <w:rsid w:val="00B11543"/>
    <w:rsid w:val="00B140ED"/>
    <w:rsid w:val="00B14380"/>
    <w:rsid w:val="00B14528"/>
    <w:rsid w:val="00B14905"/>
    <w:rsid w:val="00B24152"/>
    <w:rsid w:val="00B24C5E"/>
    <w:rsid w:val="00B261C7"/>
    <w:rsid w:val="00B26335"/>
    <w:rsid w:val="00B26AA6"/>
    <w:rsid w:val="00B26FD8"/>
    <w:rsid w:val="00B30EEC"/>
    <w:rsid w:val="00B35357"/>
    <w:rsid w:val="00B40593"/>
    <w:rsid w:val="00B423E2"/>
    <w:rsid w:val="00B447DB"/>
    <w:rsid w:val="00B44C9B"/>
    <w:rsid w:val="00B51B6A"/>
    <w:rsid w:val="00B51CDE"/>
    <w:rsid w:val="00B54446"/>
    <w:rsid w:val="00B5737E"/>
    <w:rsid w:val="00B62B4D"/>
    <w:rsid w:val="00B72209"/>
    <w:rsid w:val="00B730A3"/>
    <w:rsid w:val="00B74537"/>
    <w:rsid w:val="00B75AAC"/>
    <w:rsid w:val="00B75C23"/>
    <w:rsid w:val="00B76F21"/>
    <w:rsid w:val="00B7732A"/>
    <w:rsid w:val="00B8056E"/>
    <w:rsid w:val="00B80C1B"/>
    <w:rsid w:val="00B8202B"/>
    <w:rsid w:val="00B9055F"/>
    <w:rsid w:val="00B96280"/>
    <w:rsid w:val="00B97A97"/>
    <w:rsid w:val="00BA0167"/>
    <w:rsid w:val="00BA5ECC"/>
    <w:rsid w:val="00BA7140"/>
    <w:rsid w:val="00BB1024"/>
    <w:rsid w:val="00BB136A"/>
    <w:rsid w:val="00BB2474"/>
    <w:rsid w:val="00BB45E8"/>
    <w:rsid w:val="00BB7F7E"/>
    <w:rsid w:val="00BC0ECA"/>
    <w:rsid w:val="00BC2C57"/>
    <w:rsid w:val="00BC3218"/>
    <w:rsid w:val="00BD0DF7"/>
    <w:rsid w:val="00BD5604"/>
    <w:rsid w:val="00BE21F9"/>
    <w:rsid w:val="00BE45D1"/>
    <w:rsid w:val="00BE4DAB"/>
    <w:rsid w:val="00BE7F4A"/>
    <w:rsid w:val="00BF32BB"/>
    <w:rsid w:val="00BF3ADA"/>
    <w:rsid w:val="00BF55FA"/>
    <w:rsid w:val="00BF5656"/>
    <w:rsid w:val="00BF6783"/>
    <w:rsid w:val="00C04899"/>
    <w:rsid w:val="00C1003C"/>
    <w:rsid w:val="00C10784"/>
    <w:rsid w:val="00C11C84"/>
    <w:rsid w:val="00C13B43"/>
    <w:rsid w:val="00C1520D"/>
    <w:rsid w:val="00C21551"/>
    <w:rsid w:val="00C2296F"/>
    <w:rsid w:val="00C2450C"/>
    <w:rsid w:val="00C248DF"/>
    <w:rsid w:val="00C24B4C"/>
    <w:rsid w:val="00C26C5C"/>
    <w:rsid w:val="00C27BB2"/>
    <w:rsid w:val="00C27FF8"/>
    <w:rsid w:val="00C30520"/>
    <w:rsid w:val="00C30DDD"/>
    <w:rsid w:val="00C31844"/>
    <w:rsid w:val="00C339E7"/>
    <w:rsid w:val="00C33D0A"/>
    <w:rsid w:val="00C37643"/>
    <w:rsid w:val="00C40F26"/>
    <w:rsid w:val="00C425EA"/>
    <w:rsid w:val="00C4390A"/>
    <w:rsid w:val="00C45E31"/>
    <w:rsid w:val="00C4701A"/>
    <w:rsid w:val="00C50F59"/>
    <w:rsid w:val="00C568AF"/>
    <w:rsid w:val="00C6031C"/>
    <w:rsid w:val="00C60CEA"/>
    <w:rsid w:val="00C61628"/>
    <w:rsid w:val="00C61EB3"/>
    <w:rsid w:val="00C626B1"/>
    <w:rsid w:val="00C631AC"/>
    <w:rsid w:val="00C661E1"/>
    <w:rsid w:val="00C717DB"/>
    <w:rsid w:val="00C720E9"/>
    <w:rsid w:val="00C729C0"/>
    <w:rsid w:val="00C74100"/>
    <w:rsid w:val="00C74B44"/>
    <w:rsid w:val="00C763B2"/>
    <w:rsid w:val="00C76F6D"/>
    <w:rsid w:val="00C85DDA"/>
    <w:rsid w:val="00C86A90"/>
    <w:rsid w:val="00C91C0C"/>
    <w:rsid w:val="00C95616"/>
    <w:rsid w:val="00C960C7"/>
    <w:rsid w:val="00C96E8E"/>
    <w:rsid w:val="00C96F82"/>
    <w:rsid w:val="00C97F7A"/>
    <w:rsid w:val="00CA22E8"/>
    <w:rsid w:val="00CA2F6B"/>
    <w:rsid w:val="00CA33CD"/>
    <w:rsid w:val="00CA5361"/>
    <w:rsid w:val="00CA589A"/>
    <w:rsid w:val="00CA7E8F"/>
    <w:rsid w:val="00CB2D28"/>
    <w:rsid w:val="00CB3A3D"/>
    <w:rsid w:val="00CB4550"/>
    <w:rsid w:val="00CB466D"/>
    <w:rsid w:val="00CC0543"/>
    <w:rsid w:val="00CC061D"/>
    <w:rsid w:val="00CC1A3E"/>
    <w:rsid w:val="00CC1AEE"/>
    <w:rsid w:val="00CC67E2"/>
    <w:rsid w:val="00CD30A1"/>
    <w:rsid w:val="00CD3D40"/>
    <w:rsid w:val="00CD471B"/>
    <w:rsid w:val="00CD5CA9"/>
    <w:rsid w:val="00CD6AA7"/>
    <w:rsid w:val="00CE08BC"/>
    <w:rsid w:val="00CE1AE2"/>
    <w:rsid w:val="00CE223B"/>
    <w:rsid w:val="00CE2CC5"/>
    <w:rsid w:val="00CE7C0A"/>
    <w:rsid w:val="00CF0A8A"/>
    <w:rsid w:val="00CF2F4D"/>
    <w:rsid w:val="00CF31CA"/>
    <w:rsid w:val="00CF4B50"/>
    <w:rsid w:val="00CF7872"/>
    <w:rsid w:val="00D00094"/>
    <w:rsid w:val="00D00CA3"/>
    <w:rsid w:val="00D017DE"/>
    <w:rsid w:val="00D03B55"/>
    <w:rsid w:val="00D10233"/>
    <w:rsid w:val="00D10B36"/>
    <w:rsid w:val="00D130D6"/>
    <w:rsid w:val="00D133EB"/>
    <w:rsid w:val="00D1374B"/>
    <w:rsid w:val="00D14909"/>
    <w:rsid w:val="00D14C68"/>
    <w:rsid w:val="00D15FE4"/>
    <w:rsid w:val="00D16996"/>
    <w:rsid w:val="00D264D6"/>
    <w:rsid w:val="00D3281C"/>
    <w:rsid w:val="00D41AC4"/>
    <w:rsid w:val="00D431FF"/>
    <w:rsid w:val="00D43FF3"/>
    <w:rsid w:val="00D44C0B"/>
    <w:rsid w:val="00D46089"/>
    <w:rsid w:val="00D47014"/>
    <w:rsid w:val="00D54290"/>
    <w:rsid w:val="00D55444"/>
    <w:rsid w:val="00D63C01"/>
    <w:rsid w:val="00D64DD9"/>
    <w:rsid w:val="00D723D2"/>
    <w:rsid w:val="00D73412"/>
    <w:rsid w:val="00D73813"/>
    <w:rsid w:val="00D73C0E"/>
    <w:rsid w:val="00D80391"/>
    <w:rsid w:val="00D81800"/>
    <w:rsid w:val="00D81842"/>
    <w:rsid w:val="00D83A1A"/>
    <w:rsid w:val="00D850BE"/>
    <w:rsid w:val="00D8573C"/>
    <w:rsid w:val="00D86FE8"/>
    <w:rsid w:val="00D91FD1"/>
    <w:rsid w:val="00D94EAB"/>
    <w:rsid w:val="00DA1745"/>
    <w:rsid w:val="00DA2075"/>
    <w:rsid w:val="00DA2997"/>
    <w:rsid w:val="00DA3668"/>
    <w:rsid w:val="00DB2A87"/>
    <w:rsid w:val="00DB3941"/>
    <w:rsid w:val="00DC0C52"/>
    <w:rsid w:val="00DC2258"/>
    <w:rsid w:val="00DD1145"/>
    <w:rsid w:val="00DD38C0"/>
    <w:rsid w:val="00DD464B"/>
    <w:rsid w:val="00DD488C"/>
    <w:rsid w:val="00DD4AAD"/>
    <w:rsid w:val="00DD59C5"/>
    <w:rsid w:val="00DD7EBB"/>
    <w:rsid w:val="00DE06EC"/>
    <w:rsid w:val="00DE0884"/>
    <w:rsid w:val="00DE3788"/>
    <w:rsid w:val="00DE54A3"/>
    <w:rsid w:val="00DE5841"/>
    <w:rsid w:val="00DE7DE1"/>
    <w:rsid w:val="00DF0727"/>
    <w:rsid w:val="00DF2FFC"/>
    <w:rsid w:val="00DF3F03"/>
    <w:rsid w:val="00DF5137"/>
    <w:rsid w:val="00DF6115"/>
    <w:rsid w:val="00DF617B"/>
    <w:rsid w:val="00DF631F"/>
    <w:rsid w:val="00DF6A60"/>
    <w:rsid w:val="00DF70A2"/>
    <w:rsid w:val="00DF71BC"/>
    <w:rsid w:val="00DF72A9"/>
    <w:rsid w:val="00E0217E"/>
    <w:rsid w:val="00E02D1D"/>
    <w:rsid w:val="00E03A95"/>
    <w:rsid w:val="00E05616"/>
    <w:rsid w:val="00E05DC4"/>
    <w:rsid w:val="00E076AC"/>
    <w:rsid w:val="00E11395"/>
    <w:rsid w:val="00E13DDB"/>
    <w:rsid w:val="00E15169"/>
    <w:rsid w:val="00E1675F"/>
    <w:rsid w:val="00E1709A"/>
    <w:rsid w:val="00E21452"/>
    <w:rsid w:val="00E21811"/>
    <w:rsid w:val="00E23B3F"/>
    <w:rsid w:val="00E23F97"/>
    <w:rsid w:val="00E24908"/>
    <w:rsid w:val="00E24968"/>
    <w:rsid w:val="00E24B8D"/>
    <w:rsid w:val="00E278EA"/>
    <w:rsid w:val="00E3046E"/>
    <w:rsid w:val="00E3117F"/>
    <w:rsid w:val="00E321BA"/>
    <w:rsid w:val="00E32826"/>
    <w:rsid w:val="00E33754"/>
    <w:rsid w:val="00E34A43"/>
    <w:rsid w:val="00E35AF8"/>
    <w:rsid w:val="00E35D65"/>
    <w:rsid w:val="00E37408"/>
    <w:rsid w:val="00E42DE7"/>
    <w:rsid w:val="00E43566"/>
    <w:rsid w:val="00E46AA6"/>
    <w:rsid w:val="00E46AD0"/>
    <w:rsid w:val="00E518E8"/>
    <w:rsid w:val="00E54DE7"/>
    <w:rsid w:val="00E61BB6"/>
    <w:rsid w:val="00E61D82"/>
    <w:rsid w:val="00E63BDC"/>
    <w:rsid w:val="00E66EB4"/>
    <w:rsid w:val="00E676F8"/>
    <w:rsid w:val="00E71A85"/>
    <w:rsid w:val="00E72421"/>
    <w:rsid w:val="00E76292"/>
    <w:rsid w:val="00E765CA"/>
    <w:rsid w:val="00E7697B"/>
    <w:rsid w:val="00E76B34"/>
    <w:rsid w:val="00E8121E"/>
    <w:rsid w:val="00E81E21"/>
    <w:rsid w:val="00E82E8B"/>
    <w:rsid w:val="00E82FC0"/>
    <w:rsid w:val="00E85E05"/>
    <w:rsid w:val="00E86F23"/>
    <w:rsid w:val="00E87568"/>
    <w:rsid w:val="00E9171B"/>
    <w:rsid w:val="00E9492A"/>
    <w:rsid w:val="00E94FB1"/>
    <w:rsid w:val="00E96FF2"/>
    <w:rsid w:val="00EA14F6"/>
    <w:rsid w:val="00EA1A77"/>
    <w:rsid w:val="00EB15EB"/>
    <w:rsid w:val="00EB4A06"/>
    <w:rsid w:val="00EB5952"/>
    <w:rsid w:val="00EB5A43"/>
    <w:rsid w:val="00EB6A71"/>
    <w:rsid w:val="00EB71DF"/>
    <w:rsid w:val="00EC474C"/>
    <w:rsid w:val="00EC64C5"/>
    <w:rsid w:val="00ED1753"/>
    <w:rsid w:val="00ED2915"/>
    <w:rsid w:val="00ED29F1"/>
    <w:rsid w:val="00ED5816"/>
    <w:rsid w:val="00ED5F6C"/>
    <w:rsid w:val="00EE233F"/>
    <w:rsid w:val="00EE62B0"/>
    <w:rsid w:val="00EE66CC"/>
    <w:rsid w:val="00EE68DC"/>
    <w:rsid w:val="00EE6D81"/>
    <w:rsid w:val="00EE73A6"/>
    <w:rsid w:val="00EF0342"/>
    <w:rsid w:val="00EF2A75"/>
    <w:rsid w:val="00EF67D3"/>
    <w:rsid w:val="00EF6C48"/>
    <w:rsid w:val="00EF711F"/>
    <w:rsid w:val="00F030A5"/>
    <w:rsid w:val="00F035CD"/>
    <w:rsid w:val="00F0705F"/>
    <w:rsid w:val="00F075DD"/>
    <w:rsid w:val="00F1068F"/>
    <w:rsid w:val="00F10D34"/>
    <w:rsid w:val="00F12ADF"/>
    <w:rsid w:val="00F14744"/>
    <w:rsid w:val="00F14A7B"/>
    <w:rsid w:val="00F159CD"/>
    <w:rsid w:val="00F15DA9"/>
    <w:rsid w:val="00F16BEA"/>
    <w:rsid w:val="00F20934"/>
    <w:rsid w:val="00F214B2"/>
    <w:rsid w:val="00F2275D"/>
    <w:rsid w:val="00F22CA8"/>
    <w:rsid w:val="00F23A56"/>
    <w:rsid w:val="00F23B89"/>
    <w:rsid w:val="00F277EB"/>
    <w:rsid w:val="00F318BB"/>
    <w:rsid w:val="00F40268"/>
    <w:rsid w:val="00F40EF2"/>
    <w:rsid w:val="00F44D22"/>
    <w:rsid w:val="00F45F63"/>
    <w:rsid w:val="00F50FF7"/>
    <w:rsid w:val="00F55A5E"/>
    <w:rsid w:val="00F55FC1"/>
    <w:rsid w:val="00F57051"/>
    <w:rsid w:val="00F57A11"/>
    <w:rsid w:val="00F61716"/>
    <w:rsid w:val="00F66C4C"/>
    <w:rsid w:val="00F67CFA"/>
    <w:rsid w:val="00F71370"/>
    <w:rsid w:val="00F744B9"/>
    <w:rsid w:val="00F751E7"/>
    <w:rsid w:val="00F75A44"/>
    <w:rsid w:val="00F77B6E"/>
    <w:rsid w:val="00F81794"/>
    <w:rsid w:val="00F83259"/>
    <w:rsid w:val="00F832EC"/>
    <w:rsid w:val="00F83583"/>
    <w:rsid w:val="00F856D1"/>
    <w:rsid w:val="00F85FBC"/>
    <w:rsid w:val="00F86016"/>
    <w:rsid w:val="00F863A9"/>
    <w:rsid w:val="00F92B63"/>
    <w:rsid w:val="00F942C1"/>
    <w:rsid w:val="00F967B7"/>
    <w:rsid w:val="00FA0E5F"/>
    <w:rsid w:val="00FA27B8"/>
    <w:rsid w:val="00FA4952"/>
    <w:rsid w:val="00FA5236"/>
    <w:rsid w:val="00FA784C"/>
    <w:rsid w:val="00FB142A"/>
    <w:rsid w:val="00FB2BD4"/>
    <w:rsid w:val="00FB307E"/>
    <w:rsid w:val="00FB50DA"/>
    <w:rsid w:val="00FB589B"/>
    <w:rsid w:val="00FB6545"/>
    <w:rsid w:val="00FB6FF2"/>
    <w:rsid w:val="00FB7DC2"/>
    <w:rsid w:val="00FC03CB"/>
    <w:rsid w:val="00FC13D8"/>
    <w:rsid w:val="00FC1840"/>
    <w:rsid w:val="00FC44AD"/>
    <w:rsid w:val="00FC5193"/>
    <w:rsid w:val="00FC5A96"/>
    <w:rsid w:val="00FC676E"/>
    <w:rsid w:val="00FC6B6F"/>
    <w:rsid w:val="00FD0B1A"/>
    <w:rsid w:val="00FD1103"/>
    <w:rsid w:val="00FD23EE"/>
    <w:rsid w:val="00FD3C08"/>
    <w:rsid w:val="00FD4C80"/>
    <w:rsid w:val="00FD7C14"/>
    <w:rsid w:val="00FD7C74"/>
    <w:rsid w:val="00FE0464"/>
    <w:rsid w:val="00FE1C45"/>
    <w:rsid w:val="00FE1F99"/>
    <w:rsid w:val="00FE2A9F"/>
    <w:rsid w:val="00FE384B"/>
    <w:rsid w:val="00FE67A7"/>
    <w:rsid w:val="00FE73CC"/>
    <w:rsid w:val="00FE7AF8"/>
    <w:rsid w:val="00FF070F"/>
    <w:rsid w:val="00FF2617"/>
    <w:rsid w:val="00FF3DFD"/>
    <w:rsid w:val="00FF503A"/>
    <w:rsid w:val="00FF5F62"/>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s>
</file>

<file path=word/webSettings.xml><?xml version="1.0" encoding="utf-8"?>
<w:webSettings xmlns:r="http://schemas.openxmlformats.org/officeDocument/2006/relationships" xmlns:w="http://schemas.openxmlformats.org/wordprocessingml/2006/main">
  <w:divs>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5010-30BF-418B-AE57-8DF964B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2013-05-11T03:41:00Z</cp:lastPrinted>
  <dcterms:created xsi:type="dcterms:W3CDTF">2013-05-22T03:05:00Z</dcterms:created>
  <dcterms:modified xsi:type="dcterms:W3CDTF">2013-05-22T03:05:00Z</dcterms:modified>
</cp:coreProperties>
</file>